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DA7F" w14:textId="77777777" w:rsidR="00960E40" w:rsidRDefault="00960E40" w:rsidP="00960E40">
      <w:pPr>
        <w:tabs>
          <w:tab w:val="left" w:pos="6060"/>
        </w:tabs>
        <w:spacing w:line="270" w:lineRule="auto"/>
        <w:jc w:val="left"/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 w:hint="eastAsia"/>
          <w:b/>
          <w:sz w:val="24"/>
        </w:rPr>
        <w:t xml:space="preserve">1. </w:t>
      </w:r>
      <w:r>
        <w:rPr>
          <w:rFonts w:ascii="Times New Roman" w:eastAsia="楷体" w:hAnsi="Times New Roman" w:cs="Times New Roman" w:hint="eastAsia"/>
          <w:b/>
          <w:sz w:val="24"/>
        </w:rPr>
        <w:t>大</w:t>
      </w:r>
      <w:proofErr w:type="gramStart"/>
      <w:r>
        <w:rPr>
          <w:rFonts w:ascii="Times New Roman" w:eastAsia="楷体" w:hAnsi="Times New Roman" w:cs="Times New Roman" w:hint="eastAsia"/>
          <w:b/>
          <w:sz w:val="24"/>
        </w:rPr>
        <w:t>禾投资</w:t>
      </w:r>
      <w:proofErr w:type="gramEnd"/>
      <w:r>
        <w:rPr>
          <w:rFonts w:ascii="Times New Roman" w:eastAsia="楷体" w:hAnsi="Times New Roman" w:cs="Times New Roman" w:hint="eastAsia"/>
          <w:b/>
          <w:sz w:val="24"/>
        </w:rPr>
        <w:t>-</w:t>
      </w:r>
      <w:r>
        <w:rPr>
          <w:rFonts w:ascii="Times New Roman" w:eastAsia="楷体" w:hAnsi="Times New Roman" w:cs="Times New Roman" w:hint="eastAsia"/>
          <w:b/>
          <w:sz w:val="24"/>
        </w:rPr>
        <w:t>掘金</w:t>
      </w:r>
      <w:r>
        <w:rPr>
          <w:rFonts w:ascii="Times New Roman" w:eastAsia="楷体" w:hAnsi="Times New Roman" w:cs="Times New Roman" w:hint="eastAsia"/>
          <w:b/>
          <w:sz w:val="24"/>
        </w:rPr>
        <w:t>1</w:t>
      </w:r>
      <w:r>
        <w:rPr>
          <w:rFonts w:ascii="Times New Roman" w:eastAsia="楷体" w:hAnsi="Times New Roman" w:cs="Times New Roman" w:hint="eastAsia"/>
          <w:b/>
          <w:sz w:val="24"/>
        </w:rPr>
        <w:t>号</w:t>
      </w:r>
    </w:p>
    <w:p w14:paraId="057A2D5B" w14:textId="06500731" w:rsidR="00D4585A" w:rsidRDefault="00960E40" w:rsidP="00960E40">
      <w:pPr>
        <w:tabs>
          <w:tab w:val="left" w:pos="6060"/>
        </w:tabs>
        <w:spacing w:line="270" w:lineRule="auto"/>
        <w:jc w:val="left"/>
        <w:rPr>
          <w:rFonts w:ascii="Times New Roman" w:eastAsia="楷体" w:hAnsi="Times New Roman" w:cs="Times New Roman" w:hint="eastAsia"/>
          <w:b/>
          <w:sz w:val="24"/>
        </w:rPr>
      </w:pPr>
      <w:r>
        <w:rPr>
          <w:rFonts w:ascii="Times New Roman" w:eastAsia="楷体" w:hAnsi="Times New Roman" w:cs="Times New Roman" w:hint="eastAsia"/>
          <w:b/>
          <w:noProof/>
          <w:sz w:val="24"/>
        </w:rPr>
        <w:drawing>
          <wp:inline distT="0" distB="0" distL="0" distR="0" wp14:anchorId="47309BBF" wp14:editId="50CF81CA">
            <wp:extent cx="6120130" cy="2979420"/>
            <wp:effectExtent l="0" t="0" r="0" b="0"/>
            <wp:docPr id="1919273074" name="图形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73074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AB7D2" w14:textId="77777777" w:rsidR="00960E40" w:rsidRDefault="00960E40" w:rsidP="00960E40">
      <w:pPr>
        <w:tabs>
          <w:tab w:val="left" w:pos="6060"/>
        </w:tabs>
        <w:spacing w:line="21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数据来源：大禾投资，</w:t>
      </w:r>
      <w:r>
        <w:rPr>
          <w:rFonts w:ascii="Times New Roman" w:eastAsia="楷体" w:hAnsi="Times New Roman" w:cs="Times New Roman" w:hint="eastAsia"/>
        </w:rPr>
        <w:t>Wind;</w:t>
      </w:r>
    </w:p>
    <w:p w14:paraId="7A02995F" w14:textId="77777777" w:rsidR="00960E40" w:rsidRDefault="00960E40" w:rsidP="00960E40">
      <w:pPr>
        <w:tabs>
          <w:tab w:val="left" w:pos="6060"/>
        </w:tabs>
        <w:spacing w:line="30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 xml:space="preserve">    </w:t>
      </w:r>
      <w:r>
        <w:rPr>
          <w:rFonts w:ascii="Times New Roman" w:eastAsia="楷体" w:hAnsi="Times New Roman" w:cs="Times New Roman" w:hint="eastAsia"/>
        </w:rPr>
        <w:t>分年度看，</w:t>
      </w:r>
      <w:r>
        <w:rPr>
          <w:rFonts w:ascii="Times New Roman" w:eastAsia="楷体" w:hAnsi="Times New Roman" w:cs="Times New Roman" w:hint="eastAsia"/>
        </w:rPr>
        <w:t>2021</w:t>
      </w:r>
      <w:r>
        <w:rPr>
          <w:rFonts w:ascii="Times New Roman" w:eastAsia="楷体" w:hAnsi="Times New Roman" w:cs="Times New Roman" w:hint="eastAsia"/>
        </w:rPr>
        <w:t>年从</w:t>
      </w:r>
      <w:r>
        <w:rPr>
          <w:rFonts w:ascii="Times New Roman" w:eastAsia="楷体" w:hAnsi="Times New Roman" w:cs="Times New Roman" w:hint="eastAsia"/>
        </w:rPr>
        <w:t>2</w:t>
      </w:r>
      <w:r>
        <w:rPr>
          <w:rFonts w:ascii="Times New Roman" w:eastAsia="楷体" w:hAnsi="Times New Roman" w:cs="Times New Roman" w:hint="eastAsia"/>
        </w:rPr>
        <w:t>月</w:t>
      </w:r>
      <w:r>
        <w:rPr>
          <w:rFonts w:ascii="Times New Roman" w:eastAsia="楷体" w:hAnsi="Times New Roman" w:cs="Times New Roman" w:hint="eastAsia"/>
        </w:rPr>
        <w:t>10</w:t>
      </w:r>
      <w:r>
        <w:rPr>
          <w:rFonts w:ascii="Times New Roman" w:eastAsia="楷体" w:hAnsi="Times New Roman" w:cs="Times New Roman" w:hint="eastAsia"/>
        </w:rPr>
        <w:t>日到年底收益</w:t>
      </w:r>
      <w:r>
        <w:rPr>
          <w:rFonts w:ascii="Times New Roman" w:eastAsia="楷体" w:hAnsi="Times New Roman" w:cs="Times New Roman" w:hint="eastAsia"/>
        </w:rPr>
        <w:t>26.3%</w:t>
      </w:r>
      <w:r>
        <w:rPr>
          <w:rFonts w:ascii="Times New Roman" w:eastAsia="楷体" w:hAnsi="Times New Roman" w:cs="Times New Roman" w:hint="eastAsia"/>
        </w:rPr>
        <w:t>、</w:t>
      </w:r>
      <w:r>
        <w:rPr>
          <w:rFonts w:ascii="Times New Roman" w:eastAsia="楷体" w:hAnsi="Times New Roman" w:cs="Times New Roman" w:hint="eastAsia"/>
        </w:rPr>
        <w:t>2022</w:t>
      </w:r>
      <w:r>
        <w:rPr>
          <w:rFonts w:ascii="Times New Roman" w:eastAsia="楷体" w:hAnsi="Times New Roman" w:cs="Times New Roman" w:hint="eastAsia"/>
        </w:rPr>
        <w:t>年收益</w:t>
      </w:r>
      <w:r>
        <w:rPr>
          <w:rFonts w:ascii="Times New Roman" w:eastAsia="楷体" w:hAnsi="Times New Roman" w:cs="Times New Roman" w:hint="eastAsia"/>
        </w:rPr>
        <w:t>1.4%</w:t>
      </w:r>
      <w:r>
        <w:rPr>
          <w:rFonts w:ascii="Times New Roman" w:eastAsia="楷体" w:hAnsi="Times New Roman" w:cs="Times New Roman" w:hint="eastAsia"/>
        </w:rPr>
        <w:t>、</w:t>
      </w:r>
      <w:r>
        <w:rPr>
          <w:rFonts w:ascii="Times New Roman" w:eastAsia="楷体" w:hAnsi="Times New Roman" w:cs="Times New Roman" w:hint="eastAsia"/>
        </w:rPr>
        <w:t>2023</w:t>
      </w:r>
      <w:r>
        <w:rPr>
          <w:rFonts w:ascii="Times New Roman" w:eastAsia="楷体" w:hAnsi="Times New Roman" w:cs="Times New Roman" w:hint="eastAsia"/>
        </w:rPr>
        <w:t>年截至</w:t>
      </w:r>
      <w:r>
        <w:rPr>
          <w:rFonts w:ascii="Times New Roman" w:eastAsia="楷体" w:hAnsi="Times New Roman" w:cs="Times New Roman" w:hint="eastAsia"/>
        </w:rPr>
        <w:t>12</w:t>
      </w:r>
      <w:r>
        <w:rPr>
          <w:rFonts w:ascii="Times New Roman" w:eastAsia="楷体" w:hAnsi="Times New Roman" w:cs="Times New Roman" w:hint="eastAsia"/>
        </w:rPr>
        <w:t>月</w:t>
      </w:r>
      <w:r>
        <w:rPr>
          <w:rFonts w:ascii="Times New Roman" w:eastAsia="楷体" w:hAnsi="Times New Roman" w:cs="Times New Roman" w:hint="eastAsia"/>
        </w:rPr>
        <w:t>6</w:t>
      </w:r>
      <w:r>
        <w:rPr>
          <w:rFonts w:ascii="Times New Roman" w:eastAsia="楷体" w:hAnsi="Times New Roman" w:cs="Times New Roman" w:hint="eastAsia"/>
        </w:rPr>
        <w:t>日收益</w:t>
      </w:r>
      <w:r>
        <w:rPr>
          <w:rFonts w:ascii="Times New Roman" w:eastAsia="楷体" w:hAnsi="Times New Roman" w:cs="Times New Roman" w:hint="eastAsia"/>
        </w:rPr>
        <w:t>14.2%</w:t>
      </w:r>
      <w:r>
        <w:rPr>
          <w:rFonts w:ascii="Times New Roman" w:eastAsia="楷体" w:hAnsi="Times New Roman" w:cs="Times New Roman" w:hint="eastAsia"/>
        </w:rPr>
        <w:t>。中金量化</w:t>
      </w:r>
      <w:r>
        <w:rPr>
          <w:rFonts w:ascii="Times New Roman" w:eastAsia="楷体" w:hAnsi="Times New Roman" w:cs="Times New Roman" w:hint="eastAsia"/>
        </w:rPr>
        <w:t>-</w:t>
      </w:r>
      <w:r>
        <w:rPr>
          <w:rFonts w:ascii="Times New Roman" w:eastAsia="楷体" w:hAnsi="Times New Roman" w:cs="Times New Roman" w:hint="eastAsia"/>
        </w:rPr>
        <w:t>汉江</w:t>
      </w:r>
      <w:r>
        <w:rPr>
          <w:rFonts w:ascii="Times New Roman" w:eastAsia="楷体" w:hAnsi="Times New Roman" w:cs="Times New Roman" w:hint="eastAsia"/>
        </w:rPr>
        <w:t>5</w:t>
      </w:r>
      <w:r>
        <w:rPr>
          <w:rFonts w:ascii="Times New Roman" w:eastAsia="楷体" w:hAnsi="Times New Roman" w:cs="Times New Roman" w:hint="eastAsia"/>
        </w:rPr>
        <w:t>号产品的胜率较高，除</w:t>
      </w:r>
      <w:r>
        <w:rPr>
          <w:rFonts w:ascii="Times New Roman" w:eastAsia="楷体" w:hAnsi="Times New Roman" w:cs="Times New Roman" w:hint="eastAsia"/>
        </w:rPr>
        <w:t>2022</w:t>
      </w:r>
      <w:r>
        <w:rPr>
          <w:rFonts w:ascii="Times New Roman" w:eastAsia="楷体" w:hAnsi="Times New Roman" w:cs="Times New Roman" w:hint="eastAsia"/>
        </w:rPr>
        <w:t>年之外，各年度均获得了不错的正收益，显著跑赢</w:t>
      </w:r>
      <w:r>
        <w:rPr>
          <w:rFonts w:ascii="Times New Roman" w:eastAsia="楷体" w:hAnsi="Times New Roman" w:cs="Times New Roman" w:hint="eastAsia"/>
        </w:rPr>
        <w:t>CTA</w:t>
      </w:r>
      <w:r>
        <w:rPr>
          <w:rFonts w:ascii="Times New Roman" w:eastAsia="楷体" w:hAnsi="Times New Roman" w:cs="Times New Roman" w:hint="eastAsia"/>
        </w:rPr>
        <w:t>套利细分策略指数，与南华商品指数不分伯仲。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7"/>
        <w:gridCol w:w="1407"/>
        <w:gridCol w:w="1408"/>
        <w:gridCol w:w="1408"/>
        <w:gridCol w:w="1408"/>
        <w:gridCol w:w="1408"/>
        <w:gridCol w:w="1408"/>
      </w:tblGrid>
      <w:tr w:rsidR="00960E40" w14:paraId="61CA8985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000000" w:fill="C00000"/>
            <w:vAlign w:val="center"/>
          </w:tcPr>
          <w:p w14:paraId="1AF43E0F" w14:textId="476DB822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指标</w:t>
            </w:r>
          </w:p>
        </w:tc>
        <w:tc>
          <w:tcPr>
            <w:tcW w:w="1407" w:type="dxa"/>
            <w:shd w:val="clear" w:color="000000" w:fill="C00000"/>
            <w:vAlign w:val="center"/>
          </w:tcPr>
          <w:p w14:paraId="26FD8969" w14:textId="573DC81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累计收益率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678D5151" w14:textId="78320F1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年化收益率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337577E7" w14:textId="3379E569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最大回撤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3C85ACD7" w14:textId="636459B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年化波动率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6F44785D" w14:textId="33057BD4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夏普比率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30CA73D5" w14:textId="746C3234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周胜率</w:t>
            </w:r>
          </w:p>
        </w:tc>
      </w:tr>
      <w:tr w:rsidR="00960E40" w14:paraId="6F26C2DD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auto" w:fill="C00000"/>
            <w:vAlign w:val="center"/>
          </w:tcPr>
          <w:p w14:paraId="320A96AC" w14:textId="5D2BE15A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大禾投资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-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掘金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1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号</w:t>
            </w:r>
          </w:p>
        </w:tc>
        <w:tc>
          <w:tcPr>
            <w:tcW w:w="1407" w:type="dxa"/>
            <w:vAlign w:val="center"/>
          </w:tcPr>
          <w:p w14:paraId="5B4318C7" w14:textId="4FFC5FB9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952.4%</w:t>
            </w:r>
          </w:p>
        </w:tc>
        <w:tc>
          <w:tcPr>
            <w:tcW w:w="1408" w:type="dxa"/>
            <w:vAlign w:val="center"/>
          </w:tcPr>
          <w:p w14:paraId="381A7165" w14:textId="79EFB64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39.0%</w:t>
            </w:r>
          </w:p>
        </w:tc>
        <w:tc>
          <w:tcPr>
            <w:tcW w:w="1408" w:type="dxa"/>
            <w:vAlign w:val="center"/>
          </w:tcPr>
          <w:p w14:paraId="697D0721" w14:textId="12F0F9F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-58.9%</w:t>
            </w:r>
          </w:p>
        </w:tc>
        <w:tc>
          <w:tcPr>
            <w:tcW w:w="1408" w:type="dxa"/>
            <w:vAlign w:val="center"/>
          </w:tcPr>
          <w:p w14:paraId="7C877C37" w14:textId="3DEF33D6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34.8%</w:t>
            </w:r>
          </w:p>
        </w:tc>
        <w:tc>
          <w:tcPr>
            <w:tcW w:w="1408" w:type="dxa"/>
            <w:vAlign w:val="center"/>
          </w:tcPr>
          <w:p w14:paraId="74B53427" w14:textId="1CA47AFA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1.1</w:t>
            </w:r>
          </w:p>
        </w:tc>
        <w:tc>
          <w:tcPr>
            <w:tcW w:w="1408" w:type="dxa"/>
            <w:vAlign w:val="center"/>
          </w:tcPr>
          <w:p w14:paraId="669EA4D7" w14:textId="6D0E8150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54.1%</w:t>
            </w:r>
          </w:p>
        </w:tc>
      </w:tr>
      <w:tr w:rsidR="00960E40" w14:paraId="39D37E52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000000" w:fill="C00000"/>
            <w:vAlign w:val="center"/>
          </w:tcPr>
          <w:p w14:paraId="3D0E94AB" w14:textId="6083D89D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年度</w:t>
            </w:r>
          </w:p>
        </w:tc>
        <w:tc>
          <w:tcPr>
            <w:tcW w:w="1407" w:type="dxa"/>
            <w:shd w:val="clear" w:color="000000" w:fill="C00000"/>
            <w:vAlign w:val="center"/>
          </w:tcPr>
          <w:p w14:paraId="736A2BAD" w14:textId="3D19F74C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2017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4B1A7798" w14:textId="2830E68B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2018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516AE3D9" w14:textId="7709245B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2019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0CB3EFAD" w14:textId="34C4AA4D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2020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6DFE6C47" w14:textId="77C60D88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2021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548CD4FB" w14:textId="04021824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2022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</w:tr>
      <w:tr w:rsidR="00960E40" w14:paraId="610669C2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auto" w:fill="C00000"/>
            <w:vAlign w:val="center"/>
          </w:tcPr>
          <w:p w14:paraId="01A1E12A" w14:textId="5F64C8C2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收益</w:t>
            </w:r>
          </w:p>
        </w:tc>
        <w:tc>
          <w:tcPr>
            <w:tcW w:w="1407" w:type="dxa"/>
            <w:vAlign w:val="center"/>
          </w:tcPr>
          <w:p w14:paraId="3A47C5C6" w14:textId="3876B6B5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79.8%</w:t>
            </w:r>
          </w:p>
        </w:tc>
        <w:tc>
          <w:tcPr>
            <w:tcW w:w="1408" w:type="dxa"/>
            <w:vAlign w:val="center"/>
          </w:tcPr>
          <w:p w14:paraId="6E7B1BA3" w14:textId="3D4C1DBD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99.0%</w:t>
            </w:r>
          </w:p>
        </w:tc>
        <w:tc>
          <w:tcPr>
            <w:tcW w:w="1408" w:type="dxa"/>
            <w:vAlign w:val="center"/>
          </w:tcPr>
          <w:p w14:paraId="03E0384D" w14:textId="2C1DA94A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115.3%</w:t>
            </w:r>
          </w:p>
        </w:tc>
        <w:tc>
          <w:tcPr>
            <w:tcW w:w="1408" w:type="dxa"/>
            <w:vAlign w:val="center"/>
          </w:tcPr>
          <w:p w14:paraId="4BDC8DA8" w14:textId="08F43641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47.7%</w:t>
            </w:r>
          </w:p>
        </w:tc>
        <w:tc>
          <w:tcPr>
            <w:tcW w:w="1408" w:type="dxa"/>
            <w:vAlign w:val="center"/>
          </w:tcPr>
          <w:p w14:paraId="67333BE6" w14:textId="1BD22233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-10.3%</w:t>
            </w:r>
          </w:p>
        </w:tc>
        <w:tc>
          <w:tcPr>
            <w:tcW w:w="1408" w:type="dxa"/>
            <w:vAlign w:val="center"/>
          </w:tcPr>
          <w:p w14:paraId="338DC68A" w14:textId="6776B60C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-7.4%</w:t>
            </w:r>
          </w:p>
        </w:tc>
      </w:tr>
      <w:tr w:rsidR="00960E40" w14:paraId="14B09459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000000" w:fill="C00000"/>
            <w:vAlign w:val="center"/>
          </w:tcPr>
          <w:p w14:paraId="4E141835" w14:textId="5032DB0D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年度</w:t>
            </w:r>
          </w:p>
        </w:tc>
        <w:tc>
          <w:tcPr>
            <w:tcW w:w="1407" w:type="dxa"/>
            <w:shd w:val="clear" w:color="000000" w:fill="C00000"/>
            <w:vAlign w:val="center"/>
          </w:tcPr>
          <w:p w14:paraId="73F19632" w14:textId="4A0A62C1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2023</w:t>
            </w: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年</w:t>
            </w:r>
          </w:p>
        </w:tc>
        <w:tc>
          <w:tcPr>
            <w:tcW w:w="1408" w:type="dxa"/>
            <w:shd w:val="clear" w:color="000000" w:fill="C00000"/>
            <w:vAlign w:val="center"/>
          </w:tcPr>
          <w:p w14:paraId="161C006A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</w:p>
        </w:tc>
        <w:tc>
          <w:tcPr>
            <w:tcW w:w="1408" w:type="dxa"/>
            <w:shd w:val="clear" w:color="000000" w:fill="C00000"/>
            <w:vAlign w:val="center"/>
          </w:tcPr>
          <w:p w14:paraId="4B48ACE9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</w:p>
        </w:tc>
        <w:tc>
          <w:tcPr>
            <w:tcW w:w="1408" w:type="dxa"/>
            <w:shd w:val="clear" w:color="000000" w:fill="C00000"/>
            <w:vAlign w:val="center"/>
          </w:tcPr>
          <w:p w14:paraId="3E1E4EA5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</w:p>
        </w:tc>
        <w:tc>
          <w:tcPr>
            <w:tcW w:w="1408" w:type="dxa"/>
            <w:shd w:val="clear" w:color="000000" w:fill="C00000"/>
            <w:vAlign w:val="center"/>
          </w:tcPr>
          <w:p w14:paraId="2BBBEE47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</w:p>
        </w:tc>
        <w:tc>
          <w:tcPr>
            <w:tcW w:w="1408" w:type="dxa"/>
            <w:shd w:val="clear" w:color="000000" w:fill="C00000"/>
            <w:vAlign w:val="center"/>
          </w:tcPr>
          <w:p w14:paraId="63B0E791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</w:p>
        </w:tc>
      </w:tr>
      <w:tr w:rsidR="00960E40" w14:paraId="25B43271" w14:textId="77777777" w:rsidTr="00960E40">
        <w:tblPrEx>
          <w:tblCellMar>
            <w:top w:w="0" w:type="dxa"/>
            <w:bottom w:w="0" w:type="dxa"/>
          </w:tblCellMar>
        </w:tblPrEx>
        <w:trPr>
          <w:trHeight w:val="400"/>
        </w:trPr>
        <w:tc>
          <w:tcPr>
            <w:tcW w:w="1407" w:type="dxa"/>
            <w:shd w:val="clear" w:color="auto" w:fill="C00000"/>
            <w:vAlign w:val="center"/>
          </w:tcPr>
          <w:p w14:paraId="5537D8AC" w14:textId="0B7B6893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b/>
                <w:sz w:val="16"/>
              </w:rPr>
            </w:pPr>
            <w:r w:rsidRPr="00960E40">
              <w:rPr>
                <w:rFonts w:ascii="Times New Roman" w:eastAsia="楷体" w:hAnsi="Times New Roman" w:cs="Times New Roman" w:hint="eastAsia"/>
                <w:b/>
                <w:sz w:val="16"/>
              </w:rPr>
              <w:t>收益</w:t>
            </w:r>
          </w:p>
        </w:tc>
        <w:tc>
          <w:tcPr>
            <w:tcW w:w="1407" w:type="dxa"/>
            <w:vAlign w:val="center"/>
          </w:tcPr>
          <w:p w14:paraId="5A801D1E" w14:textId="18677671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  <w:r w:rsidRPr="00960E40">
              <w:rPr>
                <w:rFonts w:ascii="Times New Roman" w:eastAsia="楷体" w:hAnsi="Times New Roman" w:cs="Times New Roman"/>
                <w:sz w:val="16"/>
              </w:rPr>
              <w:t>4.4%</w:t>
            </w:r>
          </w:p>
        </w:tc>
        <w:tc>
          <w:tcPr>
            <w:tcW w:w="1408" w:type="dxa"/>
            <w:vAlign w:val="center"/>
          </w:tcPr>
          <w:p w14:paraId="7FE9F18B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</w:p>
        </w:tc>
        <w:tc>
          <w:tcPr>
            <w:tcW w:w="1408" w:type="dxa"/>
            <w:vAlign w:val="center"/>
          </w:tcPr>
          <w:p w14:paraId="4CE4660B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</w:p>
        </w:tc>
        <w:tc>
          <w:tcPr>
            <w:tcW w:w="1408" w:type="dxa"/>
            <w:vAlign w:val="center"/>
          </w:tcPr>
          <w:p w14:paraId="712B9A45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</w:p>
        </w:tc>
        <w:tc>
          <w:tcPr>
            <w:tcW w:w="1408" w:type="dxa"/>
            <w:vAlign w:val="center"/>
          </w:tcPr>
          <w:p w14:paraId="30CA46F2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</w:p>
        </w:tc>
        <w:tc>
          <w:tcPr>
            <w:tcW w:w="1408" w:type="dxa"/>
            <w:vAlign w:val="center"/>
          </w:tcPr>
          <w:p w14:paraId="5B1091BF" w14:textId="77777777" w:rsidR="00960E40" w:rsidRPr="00960E40" w:rsidRDefault="00960E40" w:rsidP="00960E40">
            <w:pPr>
              <w:tabs>
                <w:tab w:val="left" w:pos="6060"/>
              </w:tabs>
              <w:spacing w:line="180" w:lineRule="exact"/>
              <w:jc w:val="center"/>
              <w:rPr>
                <w:rFonts w:ascii="Times New Roman" w:eastAsia="楷体" w:hAnsi="Times New Roman" w:cs="Times New Roman" w:hint="eastAsia"/>
                <w:sz w:val="16"/>
              </w:rPr>
            </w:pPr>
          </w:p>
        </w:tc>
      </w:tr>
    </w:tbl>
    <w:p w14:paraId="76699055" w14:textId="77777777" w:rsidR="00960E40" w:rsidRDefault="00960E40" w:rsidP="00960E40">
      <w:pPr>
        <w:tabs>
          <w:tab w:val="left" w:pos="6060"/>
        </w:tabs>
        <w:spacing w:line="210" w:lineRule="auto"/>
        <w:jc w:val="left"/>
        <w:rPr>
          <w:rFonts w:ascii="Times New Roman" w:eastAsia="楷体" w:hAnsi="Times New Roman" w:cs="Times New Roman"/>
        </w:rPr>
      </w:pPr>
      <w:r>
        <w:rPr>
          <w:rFonts w:ascii="Times New Roman" w:eastAsia="楷体" w:hAnsi="Times New Roman" w:cs="Times New Roman" w:hint="eastAsia"/>
        </w:rPr>
        <w:t>数据来源：大禾投资，指标计算区间为</w:t>
      </w:r>
      <w:r>
        <w:rPr>
          <w:rFonts w:ascii="Times New Roman" w:eastAsia="楷体" w:hAnsi="Times New Roman" w:cs="Times New Roman" w:hint="eastAsia"/>
        </w:rPr>
        <w:t>2016</w:t>
      </w:r>
      <w:r>
        <w:rPr>
          <w:rFonts w:ascii="Times New Roman" w:eastAsia="楷体" w:hAnsi="Times New Roman" w:cs="Times New Roman" w:hint="eastAsia"/>
        </w:rPr>
        <w:t>年</w:t>
      </w:r>
      <w:r>
        <w:rPr>
          <w:rFonts w:ascii="Times New Roman" w:eastAsia="楷体" w:hAnsi="Times New Roman" w:cs="Times New Roman" w:hint="eastAsia"/>
        </w:rPr>
        <w:t>08</w:t>
      </w:r>
      <w:r>
        <w:rPr>
          <w:rFonts w:ascii="Times New Roman" w:eastAsia="楷体" w:hAnsi="Times New Roman" w:cs="Times New Roman" w:hint="eastAsia"/>
        </w:rPr>
        <w:t>月</w:t>
      </w:r>
      <w:r>
        <w:rPr>
          <w:rFonts w:ascii="Times New Roman" w:eastAsia="楷体" w:hAnsi="Times New Roman" w:cs="Times New Roman" w:hint="eastAsia"/>
        </w:rPr>
        <w:t>26</w:t>
      </w:r>
      <w:r>
        <w:rPr>
          <w:rFonts w:ascii="Times New Roman" w:eastAsia="楷体" w:hAnsi="Times New Roman" w:cs="Times New Roman" w:hint="eastAsia"/>
        </w:rPr>
        <w:t>日至</w:t>
      </w:r>
      <w:r>
        <w:rPr>
          <w:rFonts w:ascii="Times New Roman" w:eastAsia="楷体" w:hAnsi="Times New Roman" w:cs="Times New Roman" w:hint="eastAsia"/>
        </w:rPr>
        <w:t>2023</w:t>
      </w:r>
      <w:r>
        <w:rPr>
          <w:rFonts w:ascii="Times New Roman" w:eastAsia="楷体" w:hAnsi="Times New Roman" w:cs="Times New Roman" w:hint="eastAsia"/>
        </w:rPr>
        <w:t>年</w:t>
      </w:r>
      <w:r>
        <w:rPr>
          <w:rFonts w:ascii="Times New Roman" w:eastAsia="楷体" w:hAnsi="Times New Roman" w:cs="Times New Roman" w:hint="eastAsia"/>
        </w:rPr>
        <w:t>10</w:t>
      </w:r>
      <w:r>
        <w:rPr>
          <w:rFonts w:ascii="Times New Roman" w:eastAsia="楷体" w:hAnsi="Times New Roman" w:cs="Times New Roman" w:hint="eastAsia"/>
        </w:rPr>
        <w:t>月</w:t>
      </w:r>
      <w:r>
        <w:rPr>
          <w:rFonts w:ascii="Times New Roman" w:eastAsia="楷体" w:hAnsi="Times New Roman" w:cs="Times New Roman" w:hint="eastAsia"/>
        </w:rPr>
        <w:t>20</w:t>
      </w:r>
      <w:r>
        <w:rPr>
          <w:rFonts w:ascii="Times New Roman" w:eastAsia="楷体" w:hAnsi="Times New Roman" w:cs="Times New Roman" w:hint="eastAsia"/>
        </w:rPr>
        <w:t>日。</w:t>
      </w:r>
    </w:p>
    <w:p w14:paraId="70BE9C2E" w14:textId="73F0C2AE" w:rsidR="00960E40" w:rsidRPr="00960E40" w:rsidRDefault="00960E40" w:rsidP="00960E40">
      <w:pPr>
        <w:tabs>
          <w:tab w:val="left" w:pos="6060"/>
        </w:tabs>
        <w:spacing w:line="210" w:lineRule="auto"/>
        <w:jc w:val="left"/>
        <w:rPr>
          <w:rFonts w:ascii="Times New Roman" w:eastAsia="楷体" w:hAnsi="Times New Roman" w:cs="Times New Roman" w:hint="eastAsia"/>
        </w:rPr>
      </w:pPr>
    </w:p>
    <w:sectPr w:rsidR="00960E40" w:rsidRPr="00960E40" w:rsidSect="00382FC5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85743" w14:textId="77777777" w:rsidR="00172771" w:rsidRDefault="00172771" w:rsidP="00B90C68">
      <w:r>
        <w:separator/>
      </w:r>
    </w:p>
  </w:endnote>
  <w:endnote w:type="continuationSeparator" w:id="0">
    <w:p w14:paraId="63516116" w14:textId="77777777" w:rsidR="00172771" w:rsidRDefault="00172771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6937" w14:textId="77777777" w:rsidR="00172771" w:rsidRDefault="00172771" w:rsidP="00B90C68">
      <w:r>
        <w:separator/>
      </w:r>
    </w:p>
  </w:footnote>
  <w:footnote w:type="continuationSeparator" w:id="0">
    <w:p w14:paraId="33BFEE97" w14:textId="77777777" w:rsidR="00172771" w:rsidRDefault="00172771" w:rsidP="00B9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1669"/>
    <w:multiLevelType w:val="hybridMultilevel"/>
    <w:tmpl w:val="6018CD8E"/>
    <w:lvl w:ilvl="0" w:tplc="024C56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3CA4F77"/>
    <w:multiLevelType w:val="hybridMultilevel"/>
    <w:tmpl w:val="CBE6E4F8"/>
    <w:lvl w:ilvl="0" w:tplc="37BE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60295BB0"/>
    <w:multiLevelType w:val="hybridMultilevel"/>
    <w:tmpl w:val="9E967A00"/>
    <w:lvl w:ilvl="0" w:tplc="E674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7F301A0"/>
    <w:multiLevelType w:val="hybridMultilevel"/>
    <w:tmpl w:val="E85CA414"/>
    <w:lvl w:ilvl="0" w:tplc="AB6CD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7760606">
    <w:abstractNumId w:val="2"/>
  </w:num>
  <w:num w:numId="2" w16cid:durableId="294531562">
    <w:abstractNumId w:val="1"/>
  </w:num>
  <w:num w:numId="3" w16cid:durableId="483936262">
    <w:abstractNumId w:val="3"/>
  </w:num>
  <w:num w:numId="4" w16cid:durableId="739791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072"/>
    <w:rsid w:val="000539C2"/>
    <w:rsid w:val="00080414"/>
    <w:rsid w:val="00083E07"/>
    <w:rsid w:val="000E3BF7"/>
    <w:rsid w:val="000E5F0C"/>
    <w:rsid w:val="000F1F3B"/>
    <w:rsid w:val="000F7D82"/>
    <w:rsid w:val="00140DD2"/>
    <w:rsid w:val="00143FB9"/>
    <w:rsid w:val="00172771"/>
    <w:rsid w:val="00176B1D"/>
    <w:rsid w:val="001A5771"/>
    <w:rsid w:val="001B2689"/>
    <w:rsid w:val="00217BB8"/>
    <w:rsid w:val="0024148F"/>
    <w:rsid w:val="00242AC3"/>
    <w:rsid w:val="00262D46"/>
    <w:rsid w:val="00264DB5"/>
    <w:rsid w:val="00264E87"/>
    <w:rsid w:val="0027185A"/>
    <w:rsid w:val="0029378C"/>
    <w:rsid w:val="002E7445"/>
    <w:rsid w:val="00303229"/>
    <w:rsid w:val="00347014"/>
    <w:rsid w:val="00382FC5"/>
    <w:rsid w:val="003A3074"/>
    <w:rsid w:val="003A6C8D"/>
    <w:rsid w:val="003B266A"/>
    <w:rsid w:val="0041441D"/>
    <w:rsid w:val="004312D6"/>
    <w:rsid w:val="004C2643"/>
    <w:rsid w:val="004D3590"/>
    <w:rsid w:val="00514180"/>
    <w:rsid w:val="00522C8A"/>
    <w:rsid w:val="00543C17"/>
    <w:rsid w:val="00544C6C"/>
    <w:rsid w:val="00574E50"/>
    <w:rsid w:val="00583C8A"/>
    <w:rsid w:val="00583FA8"/>
    <w:rsid w:val="005B4FA2"/>
    <w:rsid w:val="005F3B43"/>
    <w:rsid w:val="006062C9"/>
    <w:rsid w:val="006960B8"/>
    <w:rsid w:val="006970E6"/>
    <w:rsid w:val="006976E4"/>
    <w:rsid w:val="00697989"/>
    <w:rsid w:val="006F1330"/>
    <w:rsid w:val="006F243A"/>
    <w:rsid w:val="0070209A"/>
    <w:rsid w:val="00707D96"/>
    <w:rsid w:val="00732641"/>
    <w:rsid w:val="00760A6D"/>
    <w:rsid w:val="007719A1"/>
    <w:rsid w:val="0077348B"/>
    <w:rsid w:val="007806BA"/>
    <w:rsid w:val="007C7662"/>
    <w:rsid w:val="007D1CF9"/>
    <w:rsid w:val="007D438F"/>
    <w:rsid w:val="007D4EDB"/>
    <w:rsid w:val="007F7245"/>
    <w:rsid w:val="00817336"/>
    <w:rsid w:val="00824649"/>
    <w:rsid w:val="00826876"/>
    <w:rsid w:val="008419FB"/>
    <w:rsid w:val="00867564"/>
    <w:rsid w:val="0087450F"/>
    <w:rsid w:val="008811E1"/>
    <w:rsid w:val="008E0929"/>
    <w:rsid w:val="0092083E"/>
    <w:rsid w:val="0095312E"/>
    <w:rsid w:val="0095657B"/>
    <w:rsid w:val="00960E40"/>
    <w:rsid w:val="009A7FD5"/>
    <w:rsid w:val="009A7FDE"/>
    <w:rsid w:val="009B2B55"/>
    <w:rsid w:val="009D05A1"/>
    <w:rsid w:val="00A17D05"/>
    <w:rsid w:val="00A33B96"/>
    <w:rsid w:val="00A40A33"/>
    <w:rsid w:val="00A419BE"/>
    <w:rsid w:val="00A552CF"/>
    <w:rsid w:val="00A645AD"/>
    <w:rsid w:val="00A764DF"/>
    <w:rsid w:val="00A86E31"/>
    <w:rsid w:val="00AD1239"/>
    <w:rsid w:val="00AE6B4A"/>
    <w:rsid w:val="00B02E84"/>
    <w:rsid w:val="00B16D7C"/>
    <w:rsid w:val="00B501C5"/>
    <w:rsid w:val="00B54A90"/>
    <w:rsid w:val="00B737C6"/>
    <w:rsid w:val="00B82ED2"/>
    <w:rsid w:val="00B90C68"/>
    <w:rsid w:val="00BC68CC"/>
    <w:rsid w:val="00BF0DC5"/>
    <w:rsid w:val="00C5007C"/>
    <w:rsid w:val="00C51C08"/>
    <w:rsid w:val="00C60FBA"/>
    <w:rsid w:val="00C66973"/>
    <w:rsid w:val="00C70BB3"/>
    <w:rsid w:val="00CC1072"/>
    <w:rsid w:val="00CC2960"/>
    <w:rsid w:val="00CC347B"/>
    <w:rsid w:val="00CE3372"/>
    <w:rsid w:val="00CE6B60"/>
    <w:rsid w:val="00CF1FB9"/>
    <w:rsid w:val="00D00A0E"/>
    <w:rsid w:val="00D04BFD"/>
    <w:rsid w:val="00D07653"/>
    <w:rsid w:val="00D37CAD"/>
    <w:rsid w:val="00D45701"/>
    <w:rsid w:val="00D4585A"/>
    <w:rsid w:val="00D952A4"/>
    <w:rsid w:val="00DA6974"/>
    <w:rsid w:val="00DB28E2"/>
    <w:rsid w:val="00DD6E89"/>
    <w:rsid w:val="00DE4F51"/>
    <w:rsid w:val="00E0251A"/>
    <w:rsid w:val="00E10234"/>
    <w:rsid w:val="00E26C23"/>
    <w:rsid w:val="00E45D20"/>
    <w:rsid w:val="00E53AB2"/>
    <w:rsid w:val="00E56E37"/>
    <w:rsid w:val="00E6667F"/>
    <w:rsid w:val="00E66908"/>
    <w:rsid w:val="00E734D8"/>
    <w:rsid w:val="00E92B24"/>
    <w:rsid w:val="00EA02D8"/>
    <w:rsid w:val="00EC471C"/>
    <w:rsid w:val="00ED5845"/>
    <w:rsid w:val="00EE5AB6"/>
    <w:rsid w:val="00F05561"/>
    <w:rsid w:val="00F13694"/>
    <w:rsid w:val="00F25581"/>
    <w:rsid w:val="00F436BB"/>
    <w:rsid w:val="00F73778"/>
    <w:rsid w:val="00F76B44"/>
    <w:rsid w:val="00F802A3"/>
    <w:rsid w:val="00FC4D3C"/>
    <w:rsid w:val="00FC57E8"/>
    <w:rsid w:val="00FD519C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0A483B"/>
  <w15:chartTrackingRefBased/>
  <w15:docId w15:val="{E22E20A8-8C6B-4ABD-80F0-4B504944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C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C68"/>
    <w:rPr>
      <w:sz w:val="18"/>
      <w:szCs w:val="18"/>
    </w:rPr>
  </w:style>
  <w:style w:type="paragraph" w:styleId="a7">
    <w:name w:val="List Paragraph"/>
    <w:basedOn w:val="a"/>
    <w:uiPriority w:val="34"/>
    <w:qFormat/>
    <w:rsid w:val="006062C9"/>
    <w:pPr>
      <w:ind w:firstLineChars="200" w:firstLine="420"/>
    </w:pPr>
  </w:style>
  <w:style w:type="paragraph" w:styleId="a8">
    <w:name w:val="Normal (Web)"/>
    <w:basedOn w:val="a"/>
    <w:qFormat/>
    <w:rsid w:val="00824649"/>
    <w:pPr>
      <w:widowControl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35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117</cp:revision>
  <cp:lastPrinted>2023-12-27T13:08:00Z</cp:lastPrinted>
  <dcterms:created xsi:type="dcterms:W3CDTF">2023-12-23T07:15:00Z</dcterms:created>
  <dcterms:modified xsi:type="dcterms:W3CDTF">2023-12-27T13:08:00Z</dcterms:modified>
</cp:coreProperties>
</file>