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bundle-answer-count-apis"/>
    <w:p>
      <w:pPr>
        <w:pStyle w:val="Heading1"/>
      </w:pPr>
      <w:r>
        <w:t xml:space="preserve">Bundle Answer Count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academic/answercount.py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5 routed endpoints from this file: four</w:t>
      </w:r>
      <w:r>
        <w:t xml:space="preserve"> </w:t>
      </w:r>
      <w:r>
        <w:t xml:space="preserve">cascading dropdown lookups (programme type → group → scheme/semester →</w:t>
      </w:r>
      <w:r>
        <w:t xml:space="preserve"> </w:t>
      </w:r>
      <w:r>
        <w:t xml:space="preserve">examination) feeding the final endpoint, which returns the actual</w:t>
      </w:r>
      <w:r>
        <w:t xml:space="preserve"> </w:t>
      </w:r>
      <w:r>
        <w:t xml:space="preserve">answer-sheet bundle counts for an exam code. Shorter and cleaner than</w:t>
      </w:r>
      <w:r>
        <w:t xml:space="preserve"> </w:t>
      </w:r>
      <w:r>
        <w:rPr>
          <w:rStyle w:val="VerbatimChar"/>
        </w:rPr>
        <w:t xml:space="preserve">dcb.py</w:t>
      </w:r>
      <w:r>
        <w:t xml:space="preserve">, but still has one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call-shape issue worth</w:t>
      </w:r>
      <w:r>
        <w:t xml:space="preserve"> </w:t>
      </w:r>
      <w:r>
        <w:t xml:space="preserve">flagging.</w:t>
      </w:r>
    </w:p>
    <w:bookmarkStart w:id="22" w:name="bundle-count-programme-types"/>
    <w:p>
      <w:pPr>
        <w:pStyle w:val="Heading2"/>
      </w:pPr>
      <w:r>
        <w:t xml:space="preserve">1. Bundle Count — Programme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Bundle-Count-PrgmType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BundleCountPrgmType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ExamRegCountPrgmTypeSerializers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academic/serializers.py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type_id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 Built from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records, de-duplicated, then explicitly</w:t>
      </w:r>
      <w:r>
        <w:t xml:space="preserve"> </w:t>
      </w:r>
      <w:r>
        <w:t xml:space="preserve">filtered to drop three hardcoded scheme titles:</w:t>
      </w:r>
      <w:r>
        <w:t xml:space="preserve"> </w:t>
      </w:r>
      <w:r>
        <w:rPr>
          <w:rStyle w:val="VerbatimChar"/>
        </w:rPr>
        <w:t xml:space="preserve">"CSS(PG)"</w:t>
      </w:r>
      <w:r>
        <w:t xml:space="preserve">,</w:t>
      </w:r>
      <w:r>
        <w:t xml:space="preserve"> </w:t>
      </w:r>
      <w:r>
        <w:rPr>
          <w:rStyle w:val="VerbatimChar"/>
        </w:rPr>
        <w:t xml:space="preserve">"CBCS(PG)"</w:t>
      </w:r>
      <w:r>
        <w:t xml:space="preserve">,</w:t>
      </w:r>
      <w:r>
        <w:t xml:space="preserve"> </w:t>
      </w:r>
      <w:r>
        <w:rPr>
          <w:rStyle w:val="VerbatimChar"/>
        </w:rPr>
        <w:t xml:space="preserve">"CBCS(UG)"</w:t>
      </w:r>
      <w:r>
        <w:t xml:space="preserve"> </w:t>
      </w:r>
      <w:r>
        <w:t xml:space="preserve">— a hardcoded exclusion list baked into the</w:t>
      </w:r>
      <w:r>
        <w:t xml:space="preserve"> </w:t>
      </w:r>
      <w:r>
        <w:t xml:space="preserve">view rather than driven by any status flag or config, so adding another</w:t>
      </w:r>
      <w:r>
        <w:t xml:space="preserve"> </w:t>
      </w:r>
      <w:r>
        <w:t xml:space="preserve">scheme that needs the same exclusion means a code change here.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the literal string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, not a named constant.</w:t>
      </w:r>
    </w:p>
    <w:bookmarkEnd w:id="20"/>
    <w:bookmarkStart w:id="21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End w:id="22"/>
    <w:bookmarkStart w:id="26" w:name="bundle-count-programme-groups"/>
    <w:p>
      <w:pPr>
        <w:pStyle w:val="Heading2"/>
      </w:pPr>
      <w:r>
        <w:t xml:space="preserve">2. Bundle Count — Programme Groups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Bundle-Count-PrgmGroup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BundleCountPrgmGroup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3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"programme_type_id"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"programme_group_id"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ExamRegCountPrgmGroupSerializer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 Despite the response key being</w:t>
      </w:r>
      <w:r>
        <w:t xml:space="preserve"> </w:t>
      </w:r>
      <w:r>
        <w:rPr>
          <w:rStyle w:val="VerbatimChar"/>
        </w:rPr>
        <w:t xml:space="preserve">pgm_classes</w:t>
      </w:r>
      <w:r>
        <w:t xml:space="preserve">, this actually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records (matching both the given type and group),</w:t>
      </w:r>
      <w:r>
        <w:t xml:space="preserve"> </w:t>
      </w:r>
      <w:r>
        <w:t xml:space="preserve">not programme classes — a naming mismatch between the key and its</w:t>
      </w:r>
      <w:r>
        <w:t xml:space="preserve"> </w:t>
      </w:r>
      <w:r>
        <w:t xml:space="preserve">contents.</w:t>
      </w:r>
    </w:p>
    <w:bookmarkEnd w:id="24"/>
    <w:bookmarkStart w:id="25" w:name="response-failure-500-1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End w:id="26"/>
    <w:bookmarkStart w:id="30" w:name="bundle-count-schemes-semesters"/>
    <w:p>
      <w:pPr>
        <w:pStyle w:val="Heading2"/>
      </w:pPr>
      <w:r>
        <w:t xml:space="preserve">3. Bundle Count — Schemes &amp; Semesters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Bundle-Count-Prgm-Schemes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BundleCountPrgmSchemes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7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UniversityRegulationSchemeProgrammeNewSerializer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"semesters"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ProgrammeSemesterSerializer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attnds_view.py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AttndsExternalSchemes</w:t>
      </w:r>
      <w:r>
        <w:t xml:space="preserve"> </w:t>
      </w:r>
      <w:r>
        <w:t xml:space="preserve">— both</w:t>
      </w:r>
      <w:r>
        <w:t xml:space="preserve"> </w:t>
      </w:r>
      <w:r>
        <w:t xml:space="preserve">endpoints fetch schemes+semesters for a programme using the same two</w:t>
      </w:r>
      <w:r>
        <w:t xml:space="preserve"> </w:t>
      </w:r>
      <w:r>
        <w:t xml:space="preserve">serializers.</w:t>
      </w:r>
    </w:p>
    <w:bookmarkEnd w:id="28"/>
    <w:bookmarkStart w:id="29" w:name="response-failure-500-2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End w:id="30"/>
    <w:bookmarkStart w:id="34" w:name="bundle-count-examinations"/>
    <w:p>
      <w:pPr>
        <w:pStyle w:val="Heading2"/>
      </w:pPr>
      <w:r>
        <w:t xml:space="preserve">4. Bundle Count — Examinations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Bundle-Count-Examinations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BundleCountExaminations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1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1"/>
    <w:bookmarkStart w:id="32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"April 2026 UG Examination"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CampExmExamRegCountPrgmSemSerializer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. Only exams whose own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are included.</w:t>
      </w:r>
    </w:p>
    <w:bookmarkEnd w:id="32"/>
    <w:bookmarkStart w:id="33" w:name="response-failure-500-3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End w:id="34"/>
    <w:bookmarkStart w:id="38" w:name="bundle-count-by-exam-code"/>
    <w:p>
      <w:pPr>
        <w:pStyle w:val="Heading2"/>
      </w:pPr>
      <w:r>
        <w:t xml:space="preserve">5. Bundle Count — By Exam Code</w:t>
      </w:r>
    </w:p>
    <w:p>
      <w:pPr>
        <w:pStyle w:val="FirstParagraph"/>
      </w:pPr>
      <w:r>
        <w:t xml:space="preserve">The actual answer-sheet bundle/count data — what the previous four</w:t>
      </w:r>
      <w:r>
        <w:t xml:space="preserve"> </w:t>
      </w:r>
      <w:r>
        <w:t xml:space="preserve">endpoints’ dropdowns are for.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Bundle-Count-Exam-code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Exam_code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5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read via</w:t>
            </w:r>
            <w:r>
              <w:t xml:space="preserve"> </w:t>
            </w:r>
            <w:r>
              <w:rPr>
                <w:rStyle w:val="VerbatimChar"/>
              </w:rPr>
              <w:t xml:space="preserve">request.data['examcode']</w:t>
            </w:r>
            <w:r>
              <w:t xml:space="preserve">, a missing key raises</w:t>
            </w:r>
            <w:r>
              <w:t xml:space="preserve"> </w:t>
            </w:r>
            <w:r>
              <w:rPr>
                <w:rStyle w:val="VerbatimChar"/>
              </w:rPr>
              <w:t xml:space="preserve">KeyError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(effectively)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(effectively)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exam_obj = Examination.objects.get(code=exam_code)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/</w:t>
      </w:r>
      <w:r>
        <w:rPr>
          <w:rStyle w:val="VerbatimChar"/>
        </w:rPr>
        <w:t xml:space="preserve">SemesterMaster</w:t>
      </w:r>
      <w:r>
        <w:t xml:space="preserve"> </w:t>
      </w:r>
      <w:r>
        <w:t xml:space="preserve">lookups that follow, all use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with</w:t>
      </w:r>
      <w:r>
        <w:t xml:space="preserve"> </w:t>
      </w:r>
      <w:r>
        <w:t xml:space="preserve">no specific exception handling — an unmatched code/id falls into the</w:t>
      </w:r>
      <w:r>
        <w:t xml:space="preserve"> </w:t>
      </w:r>
      <w:r>
        <w:t xml:space="preserve">generic exception handler below.</w:t>
      </w:r>
    </w:p>
    <w:bookmarkEnd w:id="35"/>
    <w:bookmarkStart w:id="36" w:name="response-success-200-4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bCs/>
          <w:b/>
        </w:rPr>
        <w:t xml:space="preserve">Different shape from every other endpoint documented in this</w:t>
      </w:r>
      <w:r>
        <w:rPr>
          <w:bCs/>
          <w:b/>
        </w:rPr>
        <w:t xml:space="preserve"> </w:t>
      </w:r>
      <w:r>
        <w:rPr>
          <w:bCs/>
          <w:b/>
        </w:rPr>
        <w:t xml:space="preserve">series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here is a</w:t>
      </w:r>
      <w:r>
        <w:t xml:space="preserve"> </w:t>
      </w:r>
      <w:r>
        <w:rPr>
          <w:bCs/>
          <w:b/>
        </w:rPr>
        <w:t xml:space="preserve">list</w:t>
      </w:r>
      <w:r>
        <w:t xml:space="preserve">, not an object with named keys: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Structures(DS101)"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"BND-042-01"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"Answer_Script"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 names here are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/</w:t>
      </w:r>
      <w:r>
        <w:rPr>
          <w:rStyle w:val="VerbatimChar"/>
        </w:rPr>
        <w:t xml:space="preserve">Title_Case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Answer_Script</w:t>
      </w:r>
      <w:r>
        <w:t xml:space="preserve">) — every other endpoint in this app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or plain lowercase keys, making this the only</w:t>
      </w:r>
      <w:r>
        <w:t xml:space="preserve"> </w:t>
      </w:r>
      <w:r>
        <w:t xml:space="preserve">response in the series with this casing style.</w:t>
      </w:r>
    </w:p>
    <w:bookmarkEnd w:id="36"/>
    <w:bookmarkStart w:id="37" w:name="response-failure"/>
    <w:p>
      <w:pPr>
        <w:pStyle w:val="Heading3"/>
      </w:pPr>
      <w:r>
        <w:t xml:space="preserve">Response — failure</w:t>
      </w:r>
    </w:p>
    <w:p>
      <w:pPr>
        <w:pStyle w:val="FirstParagraph"/>
      </w:pPr>
      <w:r>
        <w:rPr>
          <w:bCs/>
          <w:b/>
        </w:rPr>
        <w:t xml:space="preserve">Likely bug:</w:t>
      </w:r>
      <w:r>
        <w:t xml:space="preserve"> </w:t>
      </w:r>
      <w:r>
        <w:rPr>
          <w:rStyle w:val="VerbatimChar"/>
        </w:rPr>
        <w:t xml:space="preserve">format_response(False, BAD_GATEWAY, BAD_GATEWAY_ERROR_CODE, status_code=status.HTTP_400_BAD_REQUEST)</w:t>
      </w:r>
      <w:r>
        <w:t xml:space="preserve"> </w:t>
      </w:r>
      <w:r>
        <w:t xml:space="preserve">—</w:t>
      </w:r>
      <w:r>
        <w:t xml:space="preserve"> </w:t>
      </w:r>
      <w:r>
        <w:t xml:space="preserve">only 3 positional arguments are given 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and one</w:t>
      </w:r>
      <w:r>
        <w:t xml:space="preserve"> </w:t>
      </w:r>
      <w:r>
        <w:t xml:space="preserve">more), and every other call to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in this app passes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as the 3rd positional argument. Here,</w:t>
      </w:r>
      <w:r>
        <w:t xml:space="preserve"> </w:t>
      </w:r>
      <w:r>
        <w:rPr>
          <w:rStyle w:val="VerbatimChar"/>
        </w:rPr>
        <w:t xml:space="preserve">BAD_GATEWAY_ERROR_CODE</w:t>
      </w:r>
      <w:r>
        <w:t xml:space="preserve"> </w:t>
      </w:r>
      <w:r>
        <w:t xml:space="preserve">(normally the 4th,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argument elsewhere in this app) lands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position instead, and no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is passed at all.</w:t>
      </w:r>
      <w:r>
        <w:t xml:space="preserve"> </w:t>
      </w:r>
      <w:r>
        <w:t xml:space="preserve">The likely actual shape returned is: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i.e. </w:t>
      </w:r>
      <w:r>
        <w:rPr>
          <w:rStyle w:val="VerbatimChar"/>
        </w:rPr>
        <w:t xml:space="preserve">data</w:t>
      </w:r>
      <w:r>
        <w:t xml:space="preserve"> </w:t>
      </w:r>
      <w:r>
        <w:t xml:space="preserve">here is probably a status-code-like value rather than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— a client parsing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as an object would get something</w:t>
      </w:r>
      <w:r>
        <w:t xml:space="preserve"> </w:t>
      </w:r>
      <w:r>
        <w:t xml:space="preserve">unexpected for this specific endpoint’s failure case.</w:t>
      </w:r>
    </w:p>
    <w:bookmarkEnd w:id="37"/>
    <w:bookmarkEnd w:id="38"/>
    <w:bookmarkStart w:id="39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1"/>
        </w:numPr>
        <w:pStyle w:val="Compact"/>
      </w:pPr>
      <w:r>
        <w:t xml:space="preserve">Endpoints 1–4 all use</w:t>
      </w:r>
      <w:r>
        <w:t xml:space="preserve"> </w:t>
      </w:r>
      <w:r>
        <w:rPr>
          <w:rStyle w:val="VerbatimChar"/>
        </w:rPr>
        <w:t xml:space="preserve">status_code=500</w:t>
      </w:r>
      <w:r>
        <w:t xml:space="preserve"> </w:t>
      </w:r>
      <w:r>
        <w:t xml:space="preserve">for their generic exception</w:t>
      </w:r>
      <w:r>
        <w:t xml:space="preserve"> </w:t>
      </w:r>
      <w:r>
        <w:t xml:space="preserve">handler; endpoint 5 uses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Every other file in this app that</w:t>
      </w:r>
      <w:r>
        <w:t xml:space="preserve"> </w:t>
      </w:r>
      <w:r>
        <w:t xml:space="preserve">mixes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500</w:t>
      </w:r>
      <w:r>
        <w:t xml:space="preserve"> </w:t>
      </w:r>
      <w:r>
        <w:t xml:space="preserve">for the same kind of generic failure has been</w:t>
      </w:r>
      <w:r>
        <w:t xml:space="preserve"> </w:t>
      </w:r>
      <w:r>
        <w:t xml:space="preserve">inconsistent about which endpoints get which — this file is no</w:t>
      </w:r>
      <w:r>
        <w:t xml:space="preserve"> </w:t>
      </w:r>
      <w:r>
        <w:t xml:space="preserve">exception.</w:t>
      </w:r>
    </w:p>
    <w:p>
      <w:pPr>
        <w:numPr>
          <w:ilvl w:val="0"/>
          <w:numId w:val="1001"/>
        </w:numPr>
        <w:pStyle w:val="Compact"/>
      </w:pPr>
      <w:r>
        <w:t xml:space="preserve">Endpoint 5’s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call for the failure case appears to</w:t>
      </w:r>
      <w:r>
        <w:t xml:space="preserve"> </w:t>
      </w:r>
      <w:r>
        <w:t xml:space="preserve">pass its arguments in the wrong positions — see that endpoint’s</w:t>
      </w:r>
      <w:r>
        <w:t xml:space="preserve"> </w:t>
      </w:r>
      <w:r>
        <w:t xml:space="preserve">Notes.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UniversityRegulationSchemeProgrammeNewSerializer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ProgrammeSemesterSerializer</w:t>
      </w:r>
      <w:r>
        <w:t xml:space="preserve"> </w:t>
      </w:r>
      <w:r>
        <w:t xml:space="preserve">are external (</w:t>
      </w:r>
      <w:r>
        <w:rPr>
          <w:rStyle w:val="VerbatimChar"/>
        </w:rPr>
        <w:t xml:space="preserve">util.serializers</w:t>
      </w:r>
      <w:r>
        <w:t xml:space="preserve">, not</w:t>
      </w:r>
      <w:r>
        <w:t xml:space="preserve"> </w:t>
      </w:r>
      <w:r>
        <w:t xml:space="preserve">confirmable) — the same two serializers used by</w:t>
      </w:r>
      <w:r>
        <w:t xml:space="preserve"> </w:t>
      </w:r>
      <w:r>
        <w:rPr>
          <w:rStyle w:val="VerbatimChar"/>
        </w:rPr>
        <w:t xml:space="preserve">attnds_view.py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AttndsExternalSchemes</w:t>
      </w:r>
      <w:r>
        <w:t xml:space="preserve">.</w:t>
      </w:r>
      <w:r>
        <w:t xml:space="preserve"> </w:t>
      </w:r>
      <w:r>
        <w:rPr>
          <w:rStyle w:val="VerbatimChar"/>
        </w:rPr>
        <w:t xml:space="preserve">ExamRegCountPrgmTypeSerializers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ExamRegCountPrgmGroupSerializer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CampExmExamRegCountPrgmSemSerializer</w:t>
      </w:r>
      <w:r>
        <w:t xml:space="preserve"> </w:t>
      </w:r>
      <w:r>
        <w:t xml:space="preserve">are all defined 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 </w:t>
      </w:r>
      <w:r>
        <w:t xml:space="preserve">(confirmed fields, used</w:t>
      </w:r>
      <w:r>
        <w:t xml:space="preserve"> </w:t>
      </w:r>
      <w:r>
        <w:t xml:space="preserve">throughout this doc).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2026-08-03T02:16:53Z</dcterms:created>
  <dcterms:modified xsi:type="dcterms:W3CDTF">2026-08-03T02:16:53Z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