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piservices-module-api-documentation"/>
    <w:p>
      <w:pPr>
        <w:pStyle w:val="Heading1"/>
      </w:pPr>
      <w:r>
        <w:t xml:space="preserve">apiservices Module — API Documentation</w:t>
      </w:r>
    </w:p>
    <w:bookmarkStart w:id="20" w:name="what-this-module-does"/>
    <w:p>
      <w:pPr>
        <w:pStyle w:val="Heading2"/>
      </w:pPr>
      <w:r>
        <w:t xml:space="preserve">What this module does</w:t>
      </w:r>
    </w:p>
    <w:p>
      <w:pPr>
        <w:pStyle w:val="FirstParagraph"/>
      </w:pPr>
      <w:r>
        <w:rPr>
          <w:rStyle w:val="VerbatimChar"/>
        </w:rPr>
        <w:t xml:space="preserve">apiservices</w:t>
      </w:r>
      <w:r>
        <w:t xml:space="preserve"> </w:t>
      </w:r>
      <w:r>
        <w:t xml:space="preserve">is a small, focused app in the University of Kerala</w:t>
      </w:r>
      <w:r>
        <w:t xml:space="preserve"> </w:t>
      </w:r>
      <w:r>
        <w:t xml:space="preserve">online evaluation system covering</w:t>
      </w:r>
      <w:r>
        <w:t xml:space="preserve"> </w:t>
      </w:r>
      <w:r>
        <w:rPr>
          <w:bCs/>
          <w:b/>
        </w:rPr>
        <w:t xml:space="preserve">semester registration reporting</w:t>
      </w:r>
      <w:r>
        <w:t xml:space="preserve"> </w:t>
      </w:r>
      <w:r>
        <w:t xml:space="preserve">— registration counts broken down by admission year/programme</w:t>
      </w:r>
      <w:r>
        <w:t xml:space="preserve"> </w:t>
      </w:r>
      <w:r>
        <w:t xml:space="preserve">group/semester, the registration schedule list (with cascading</w:t>
      </w:r>
      <w:r>
        <w:t xml:space="preserve"> </w:t>
      </w:r>
      <w:r>
        <w:t xml:space="preserve">filters), the currently-active/upcoming registration windows, and a</w:t>
      </w:r>
      <w:r>
        <w:t xml:space="preserve"> </w:t>
      </w:r>
      <w:r>
        <w:t xml:space="preserve">per-schedule approval-stage breakdown (lecturer → HOD → Principal).</w:t>
      </w:r>
      <w:r>
        <w:t xml:space="preserve"> </w:t>
      </w:r>
      <w:r>
        <w:t xml:space="preserve">Unlike</w:t>
      </w:r>
      <w:r>
        <w:t xml:space="preserve"> </w:t>
      </w:r>
      <w:r>
        <w:rPr>
          <w:rStyle w:val="VerbatimChar"/>
        </w:rPr>
        <w:t xml:space="preserve">academic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, this app currently has a</w:t>
      </w:r>
      <w:r>
        <w:t xml:space="preserve"> </w:t>
      </w:r>
      <w:r>
        <w:rPr>
          <w:bCs/>
          <w:b/>
        </w:rPr>
        <w:t xml:space="preserve">single</w:t>
      </w:r>
      <w:r>
        <w:t xml:space="preserve"> </w:t>
      </w:r>
      <w:r>
        <w:t xml:space="preserve">source file behind its URLs,</w:t>
      </w:r>
      <w:r>
        <w:t xml:space="preserve"> </w:t>
      </w:r>
      <w:r>
        <w:rPr>
          <w:rStyle w:val="VerbatimChar"/>
        </w:rPr>
        <w:t xml:space="preserve">sem_reg_api.py</w:t>
      </w:r>
      <w:r>
        <w:t xml:space="preserve">.</w:t>
      </w:r>
    </w:p>
    <w:bookmarkEnd w:id="20"/>
    <w:bookmarkStart w:id="21" w:name="response-format-used-across-this-module"/>
    <w:p>
      <w:pPr>
        <w:pStyle w:val="Heading2"/>
      </w:pPr>
      <w:r>
        <w:t xml:space="preserve">Response format used across this module</w:t>
      </w:r>
    </w:p>
    <w:p>
      <w:pPr>
        <w:pStyle w:val="FirstParagraph"/>
      </w:pPr>
      <w:r>
        <w:t xml:space="preserve">Two of this file’s four endpoints (and three of four methods) use the</w:t>
      </w:r>
      <w:r>
        <w:t xml:space="preserve"> </w:t>
      </w:r>
      <w:r>
        <w:t xml:space="preserve">same shared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helper documented in the</w:t>
      </w:r>
      <w:r>
        <w:t xml:space="preserve"> </w:t>
      </w:r>
      <w:r>
        <w:rPr>
          <w:rStyle w:val="VerbatimChar"/>
        </w:rPr>
        <w:t xml:space="preserve">academic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overviews: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The other two methods — both on the same view class,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SemwiseAdmyearwiseSemesterRegistrationCount.post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SemwiseAdmyearwiseSemesterRegistrationSchedule.post</w:t>
      </w:r>
      <w:r>
        <w:rPr>
          <w:bCs/>
          <w:b/>
        </w:rPr>
        <w:t xml:space="preserve"> </w:t>
      </w:r>
      <w:r>
        <w:rPr>
          <w:bCs/>
          <w:b/>
        </w:rPr>
        <w:t xml:space="preserve">— don’t use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format_response()</w:t>
      </w:r>
      <w:r>
        <w:rPr>
          <w:bCs/>
          <w:b/>
        </w:rPr>
        <w:t xml:space="preserve"> </w:t>
      </w:r>
      <w:r>
        <w:rPr>
          <w:bCs/>
          <w:b/>
        </w:rPr>
        <w:t xml:space="preserve">at all.</w:t>
      </w:r>
      <w:r>
        <w:t xml:space="preserve"> </w:t>
      </w:r>
      <w:r>
        <w:t xml:space="preserve">They return a raw DRF</w:t>
      </w:r>
      <w:r>
        <w:t xml:space="preserve"> </w:t>
      </w:r>
      <w:r>
        <w:rPr>
          <w:rStyle w:val="VerbatimChar"/>
        </w:rPr>
        <w:t xml:space="preserve">Response()</w:t>
      </w:r>
      <w:r>
        <w:t xml:space="preserve"> </w:t>
      </w:r>
      <w:r>
        <w:t xml:space="preserve">with a</w:t>
      </w:r>
      <w:r>
        <w:t xml:space="preserve"> </w:t>
      </w:r>
      <w:r>
        <w:t xml:space="preserve">differently-shaped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Two concrete differences from the standard shape, worth knowing before</w:t>
      </w:r>
      <w:r>
        <w:t xml:space="preserve"> </w:t>
      </w:r>
      <w:r>
        <w:t xml:space="preserve">writing a client against this app: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here is the</w:t>
      </w:r>
      <w:r>
        <w:t xml:space="preserve"> </w:t>
      </w:r>
      <w:r>
        <w:rPr>
          <w:bCs/>
          <w:b/>
        </w:rPr>
        <w:t xml:space="preserve">numeric</w:t>
      </w:r>
      <w:r>
        <w:t xml:space="preserve"> </w:t>
      </w:r>
      <w:r>
        <w:t xml:space="preserve">HTTP status code (</w:t>
      </w:r>
      <w:r>
        <w:rPr>
          <w:rStyle w:val="VerbatimChar"/>
        </w:rPr>
        <w:t xml:space="preserve">200</w:t>
      </w:r>
      <w:r>
        <w:t xml:space="preserve">/</w:t>
      </w:r>
      <w:r>
        <w:rPr>
          <w:rStyle w:val="VerbatimChar"/>
        </w:rPr>
        <w:t xml:space="preserve">400</w:t>
      </w:r>
      <w:r>
        <w:t xml:space="preserve">), not the boolean</w:t>
      </w:r>
      <w:r>
        <w:t xml:space="preserve"> </w:t>
      </w:r>
      <w:r>
        <w:rPr>
          <w:rStyle w:val="VerbatimChar"/>
        </w:rPr>
        <w:t xml:space="preserve">true</w:t>
      </w:r>
      <w:r>
        <w:t xml:space="preserve">/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used</w:t>
      </w:r>
      <w:r>
        <w:t xml:space="preserve"> </w:t>
      </w:r>
      <w:r>
        <w:t xml:space="preserve">everywhere else in this project, and there’s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status_code</w:t>
      </w:r>
      <w:r>
        <w:rPr>
          <w:bCs/>
          <w:b/>
        </w:rPr>
        <w:t xml:space="preserve"> </w:t>
      </w:r>
      <w:r>
        <w:rPr>
          <w:bCs/>
          <w:b/>
        </w:rPr>
        <w:t xml:space="preserve">key at</w:t>
      </w:r>
      <w:r>
        <w:rPr>
          <w:bCs/>
          <w:b/>
        </w:rPr>
        <w:t xml:space="preserve"> </w:t>
      </w:r>
      <w:r>
        <w:rPr>
          <w:bCs/>
          <w:b/>
        </w:rPr>
        <w:t xml:space="preserve">all</w:t>
      </w:r>
      <w:r>
        <w:t xml:space="preserve">. A client written against the</w:t>
      </w:r>
      <w:r>
        <w:t xml:space="preserve"> </w:t>
      </w:r>
      <w:r>
        <w:rPr>
          <w:rStyle w:val="VerbatimChar"/>
        </w:rPr>
        <w:t xml:space="preserve">academic</w:t>
      </w:r>
      <w:r>
        <w:t xml:space="preserve">/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convention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if (response.status)</w:t>
      </w:r>
      <w:r>
        <w:t xml:space="preserve"> </w:t>
      </w:r>
      <w:r>
        <w:t xml:space="preserve">expecting a boolean, or reading</w:t>
      </w:r>
      <w:r>
        <w:t xml:space="preserve"> </w:t>
      </w:r>
      <w:r>
        <w:rPr>
          <w:rStyle w:val="VerbatimChar"/>
        </w:rPr>
        <w:t xml:space="preserve">response.status_code</w:t>
      </w:r>
      <w:r>
        <w:t xml:space="preserve">) needs a special case for these two methods.</w:t>
      </w:r>
      <w:r>
        <w:t xml:space="preserve"> </w:t>
      </w:r>
      <w:r>
        <w:t xml:space="preserve">Full detail in the sub-area doc below.</w:t>
      </w:r>
    </w:p>
    <w:bookmarkEnd w:id="21"/>
    <w:bookmarkStart w:id="22" w:name="a-note-on-source-visibility"/>
    <w:p>
      <w:pPr>
        <w:pStyle w:val="Heading2"/>
      </w:pPr>
      <w:r>
        <w:t xml:space="preserve">A note on source visibility</w:t>
      </w:r>
    </w:p>
    <w:p>
      <w:pPr>
        <w:pStyle w:val="FirstParagraph"/>
      </w:pPr>
      <w:r>
        <w:t xml:space="preserve">Same situation as the</w:t>
      </w:r>
      <w:r>
        <w:t xml:space="preserve"> </w:t>
      </w:r>
      <w:r>
        <w:rPr>
          <w:rStyle w:val="VerbatimChar"/>
        </w:rPr>
        <w:t xml:space="preserve">academic</w:t>
      </w:r>
      <w:r>
        <w:t xml:space="preserve"> </w:t>
      </w:r>
      <w:r>
        <w:t xml:space="preserve">app: this file imports models via</w:t>
      </w:r>
      <w:r>
        <w:t xml:space="preserve"> </w:t>
      </w:r>
      <w:r>
        <w:rPr>
          <w:rStyle w:val="VerbatimChar"/>
        </w:rPr>
        <w:t xml:space="preserve">from util.models import *</w:t>
      </w:r>
      <w:r>
        <w:t xml:space="preserve"> </w:t>
      </w:r>
      <w:r>
        <w:t xml:space="preserve">and constants via</w:t>
      </w:r>
      <w:r>
        <w:t xml:space="preserve"> </w:t>
      </w:r>
      <w:r>
        <w:rPr>
          <w:rStyle w:val="VerbatimChar"/>
        </w:rPr>
        <w:t xml:space="preserve">from util.constants import *</w:t>
      </w:r>
      <w:r>
        <w:t xml:space="preserve">, from a shared</w:t>
      </w:r>
      <w:r>
        <w:t xml:space="preserve"> </w:t>
      </w:r>
      <w:r>
        <w:rPr>
          <w:rStyle w:val="VerbatimChar"/>
        </w:rPr>
        <w:t xml:space="preserve">util</w:t>
      </w:r>
      <w:r>
        <w:t xml:space="preserve"> </w:t>
      </w:r>
      <w:r>
        <w:t xml:space="preserve">app that wasn’t part of this upload.</w:t>
      </w:r>
      <w:r>
        <w:t xml:space="preserve"> </w:t>
      </w:r>
      <w:r>
        <w:t xml:space="preserve">Where a field or constant’s exact value depends on those, this doc says</w:t>
      </w:r>
      <w:r>
        <w:t xml:space="preserve"> </w:t>
      </w:r>
      <w:r>
        <w:t xml:space="preserve">so explicitly rather than guessing. Unlike most of the</w:t>
      </w:r>
      <w:r>
        <w:t xml:space="preserve"> </w:t>
      </w:r>
      <w:r>
        <w:rPr>
          <w:rStyle w:val="VerbatimChar"/>
        </w:rPr>
        <w:t xml:space="preserve">academic</w:t>
      </w:r>
      <w:r>
        <w:t xml:space="preserve"> </w:t>
      </w:r>
      <w:r>
        <w:t xml:space="preserve">app</w:t>
      </w:r>
      <w:r>
        <w:t xml:space="preserve"> </w:t>
      </w:r>
      <w:r>
        <w:t xml:space="preserve">docs, though,</w:t>
      </w:r>
      <w:r>
        <w:t xml:space="preserve"> </w:t>
      </w:r>
      <w:r>
        <w:rPr>
          <w:bCs/>
          <w:b/>
        </w:rPr>
        <w:t xml:space="preserve">both serializers this file actually uses are defined</w:t>
      </w:r>
      <w:r>
        <w:rPr>
          <w:bCs/>
          <w:b/>
        </w:rPr>
        <w:t xml:space="preserve"> </w:t>
      </w:r>
      <w:r>
        <w:rPr>
          <w:bCs/>
          <w:b/>
        </w:rPr>
        <w:t xml:space="preserve">locally</w:t>
      </w:r>
      <w:r>
        <w:t xml:space="preserve"> </w:t>
      </w:r>
      <w:r>
        <w:t xml:space="preserve">(</w:t>
      </w:r>
      <w:r>
        <w:rPr>
          <w:rStyle w:val="VerbatimChar"/>
        </w:rPr>
        <w:t xml:space="preserve">apiservices/serializers.py</w:t>
      </w:r>
      <w:r>
        <w:t xml:space="preserve">), so the response field lists</w:t>
      </w:r>
      <w:r>
        <w:t xml:space="preserve"> </w:t>
      </w:r>
      <w:r>
        <w:t xml:space="preserve">below are fully confirmed, not inferred.</w:t>
      </w:r>
    </w:p>
    <w:bookmarkEnd w:id="22"/>
    <w:bookmarkStart w:id="23" w:name="Xb6168f56817381df0dd5806bfe14767e696e242"/>
    <w:p>
      <w:pPr>
        <w:pStyle w:val="Heading2"/>
      </w:pPr>
      <w:r>
        <w:t xml:space="preserve">Sub-areas in this module (one doc file each)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semester-registration.md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all 4 endpoints from</w:t>
            </w:r>
            <w:r>
              <w:t xml:space="preserve"> </w:t>
            </w:r>
            <w:r>
              <w:rPr>
                <w:rStyle w:val="VerbatimChar"/>
              </w:rPr>
              <w:t xml:space="preserve">sem_reg_api.py</w:t>
            </w:r>
            <w:r>
              <w:t xml:space="preserve">: semester registration counts by admission year/programme group/semester, the registration schedule list, active/upcoming registration windows, and per-schedule approval-stage counts</w:t>
            </w:r>
          </w:p>
        </w:tc>
      </w:tr>
    </w:tbl>
    <w:p>
      <w:pPr>
        <w:pStyle w:val="BodyText"/>
      </w:pPr>
      <w:r>
        <w:t xml:space="preserve">This is a living document — if more source files are added to this</w:t>
      </w:r>
      <w:r>
        <w:t xml:space="preserve"> </w:t>
      </w:r>
      <w:r>
        <w:t xml:space="preserve">app later, they’ll be documented here the same way, one at a time.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2026-08-05T18:28:56Z</dcterms:created>
  <dcterms:modified xsi:type="dcterms:W3CDTF">2026-08-05T18:28:56Z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