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Exam Registration Count Report API</w:t>
      </w:r>
    </w:p>
    <w:p>
      <w:pPr>
        <w:spacing w:after="40"/>
      </w:pPr>
      <w:r>
        <w:rPr>
          <w:rFonts w:ascii="Calibri" w:cs="Calibri" w:eastAsia="Calibri" w:hAnsi="Calibri"/>
          <w:color w:val="595959"/>
          <w:sz w:val="28"/>
          <w:szCs w:val="28"/>
        </w:rPr>
        <w:t xml:space="preserve">registration_count.py — API Reference</w:t>
      </w:r>
    </w:p>
    <w:p>
      <w:pPr>
        <w:spacing w:after="40"/>
      </w:pPr>
      <w:r>
        <w:rPr>
          <w:rFonts w:ascii="Calibri" w:cs="Calibri" w:eastAsia="Calibri" w:hAnsi="Calibri"/>
          <w:i/>
          <w:iCs/>
          <w:color w:val="808080"/>
          <w:sz w:val="20"/>
          <w:szCs w:val="20"/>
        </w:rPr>
        <w:t xml:space="preserve">Module: a cascading programme/scheme/exam filter chain feeding a college-and-course-wise exam registration count report, plus separate student/college/course registration-count summary endpoints.</w:t>
      </w:r>
    </w:p>
    <w:p>
      <w:pPr>
        <w:pBdr>
          <w:bottom w:val="single" w:color="2F5496" w:sz="6"/>
        </w:pBdr>
        <w:spacing w:after="400"/>
      </w:pPr>
      <w:r>
        <w:rPr>
          <w:rFonts w:ascii="Calibri" w:cs="Calibri" w:eastAsia="Calibri" w:hAnsi="Calibri"/>
          <w:color w:val="808080"/>
          <w:sz w:val="20"/>
          <w:szCs w:val="20"/>
        </w:rPr>
        <w:t xml:space="preserve">Base classes: rest_framework.views.APIView, rest_framework.generics.ListAPIView   ·   No explicit permission_classes set on any view.</w:t>
      </w:r>
    </w:p>
    <w:p>
      <w:pPr>
        <w:pStyle w:val="Heading1"/>
        <w:spacing w:after="120" w:before="240"/>
      </w:pPr>
      <w:r>
        <w:t xml:space="preserve">Group A — Cascading Filters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2F5496" w:val="clear"/>
          </w:tcPr>
          <w:p>
            <w:r>
              <w:rPr>
                <w:rFonts w:ascii="Calibri" w:cs="Calibri" w:eastAsia="Calibri" w:hAnsi="Calibri"/>
                <w:b/>
                <w:bCs/>
                <w:color w:val="FFFFFF"/>
                <w:sz w:val="20"/>
                <w:szCs w:val="20"/>
              </w:rPr>
              <w:t xml:space="preserve">View</w:t>
            </w:r>
          </w:p>
        </w:tc>
        <w:tc>
          <w:tcPr>
            <w:tcW w:type="dxa" w:w="3600"/>
            <w:shd w:fill="2F5496" w:val="clear"/>
          </w:tcPr>
          <w:p>
            <w:r>
              <w:rPr>
                <w:rFonts w:ascii="Calibri" w:cs="Calibri" w:eastAsia="Calibri" w:hAnsi="Calibri"/>
                <w:b/>
                <w:bCs/>
                <w:color w:val="FFFFFF"/>
                <w:sz w:val="20"/>
                <w:szCs w:val="20"/>
              </w:rPr>
              <w:t xml:space="preserve">Method &amp; input</w:t>
            </w:r>
          </w:p>
        </w:tc>
        <w:tc>
          <w:tcPr>
            <w:tcW w:type="dxa" w:w="3200"/>
            <w:shd w:fill="2F5496" w:val="clear"/>
          </w:tcPr>
          <w:p>
            <w:r>
              <w:rPr>
                <w:rFonts w:ascii="Calibri" w:cs="Calibri" w:eastAsia="Calibri" w:hAnsi="Calibri"/>
                <w:b/>
                <w:bCs/>
                <w:color w:val="FFFFFF"/>
                <w:sz w:val="20"/>
                <w:szCs w:val="20"/>
              </w:rPr>
              <w:t xml:space="preserve">Response key</w:t>
            </w:r>
          </w:p>
        </w:tc>
      </w:tr>
      <w:tr>
        <w:tc>
          <w:tcPr>
            <w:tcW w:type="dxa" w:w="2600"/>
          </w:tcPr>
          <w:p>
            <w:r>
              <w:rPr>
                <w:rFonts w:ascii="Calibri" w:cs="Calibri" w:eastAsia="Calibri" w:hAnsi="Calibri"/>
                <w:sz w:val="20"/>
                <w:szCs w:val="20"/>
              </w:rPr>
              <w:t xml:space="preserve">ExamRegCountPrgmType</w:t>
            </w:r>
          </w:p>
        </w:tc>
        <w:tc>
          <w:tcPr>
            <w:tcW w:type="dxa" w:w="3600"/>
          </w:tcPr>
          <w:p>
            <w:r>
              <w:rPr>
                <w:rFonts w:ascii="Calibri" w:cs="Calibri" w:eastAsia="Calibri" w:hAnsi="Calibri"/>
                <w:sz w:val="20"/>
                <w:szCs w:val="20"/>
              </w:rPr>
              <w:t xml:space="preserve">GET (none — all active programmes)</w:t>
            </w:r>
          </w:p>
        </w:tc>
        <w:tc>
          <w:tcPr>
            <w:tcW w:type="dxa" w:w="3200"/>
          </w:tcPr>
          <w:p>
            <w:r>
              <w:rPr>
                <w:rFonts w:ascii="Calibri" w:cs="Calibri" w:eastAsia="Calibri" w:hAnsi="Calibri"/>
                <w:sz w:val="20"/>
                <w:szCs w:val="20"/>
              </w:rPr>
              <w:t xml:space="preserve">pgm_type</w:t>
            </w:r>
          </w:p>
        </w:tc>
      </w:tr>
      <w:tr>
        <w:tc>
          <w:tcPr>
            <w:tcW w:type="dxa" w:w="2600"/>
          </w:tcPr>
          <w:p>
            <w:r>
              <w:rPr>
                <w:rFonts w:ascii="Calibri" w:cs="Calibri" w:eastAsia="Calibri" w:hAnsi="Calibri"/>
                <w:sz w:val="20"/>
                <w:szCs w:val="20"/>
              </w:rPr>
              <w:t xml:space="preserve">ExamRegCountPrgmGroup</w:t>
            </w:r>
          </w:p>
        </w:tc>
        <w:tc>
          <w:tcPr>
            <w:tcW w:type="dxa" w:w="3600"/>
          </w:tcPr>
          <w:p>
            <w:r>
              <w:rPr>
                <w:rFonts w:ascii="Calibri" w:cs="Calibri" w:eastAsia="Calibri" w:hAnsi="Calibri"/>
                <w:sz w:val="20"/>
                <w:szCs w:val="20"/>
              </w:rPr>
              <w:t xml:space="preserve">POST {programme_type_id, programme_group_id}</w:t>
            </w:r>
          </w:p>
        </w:tc>
        <w:tc>
          <w:tcPr>
            <w:tcW w:type="dxa" w:w="3200"/>
          </w:tcPr>
          <w:p>
            <w:r>
              <w:rPr>
                <w:rFonts w:ascii="Calibri" w:cs="Calibri" w:eastAsia="Calibri" w:hAnsi="Calibri"/>
                <w:sz w:val="20"/>
                <w:szCs w:val="20"/>
              </w:rPr>
              <w:t xml:space="preserve">pgm_classes (actually a programme list — see note)</w:t>
            </w:r>
          </w:p>
        </w:tc>
      </w:tr>
      <w:tr>
        <w:tc>
          <w:tcPr>
            <w:tcW w:type="dxa" w:w="2600"/>
          </w:tcPr>
          <w:p>
            <w:r>
              <w:rPr>
                <w:rFonts w:ascii="Calibri" w:cs="Calibri" w:eastAsia="Calibri" w:hAnsi="Calibri"/>
                <w:sz w:val="20"/>
                <w:szCs w:val="20"/>
              </w:rPr>
              <w:t xml:space="preserve">ExamRegCountPrgmSchemes</w:t>
            </w:r>
          </w:p>
        </w:tc>
        <w:tc>
          <w:tcPr>
            <w:tcW w:type="dxa" w:w="3600"/>
          </w:tcPr>
          <w:p>
            <w:r>
              <w:rPr>
                <w:rFonts w:ascii="Calibri" w:cs="Calibri" w:eastAsia="Calibri" w:hAnsi="Calibri"/>
                <w:sz w:val="20"/>
                <w:szCs w:val="20"/>
              </w:rPr>
              <w:t xml:space="preserve">POST {programme_id}</w:t>
            </w:r>
          </w:p>
        </w:tc>
        <w:tc>
          <w:tcPr>
            <w:tcW w:type="dxa" w:w="3200"/>
          </w:tcPr>
          <w:p>
            <w:r>
              <w:rPr>
                <w:rFonts w:ascii="Calibri" w:cs="Calibri" w:eastAsia="Calibri" w:hAnsi="Calibri"/>
                <w:sz w:val="20"/>
                <w:szCs w:val="20"/>
              </w:rPr>
              <w:t xml:space="preserve">schemes, semesters</w:t>
            </w:r>
          </w:p>
        </w:tc>
      </w:tr>
      <w:tr>
        <w:tc>
          <w:tcPr>
            <w:tcW w:type="dxa" w:w="2600"/>
          </w:tcPr>
          <w:p>
            <w:r>
              <w:rPr>
                <w:rFonts w:ascii="Calibri" w:cs="Calibri" w:eastAsia="Calibri" w:hAnsi="Calibri"/>
                <w:sz w:val="20"/>
                <w:szCs w:val="20"/>
              </w:rPr>
              <w:t xml:space="preserve">ExamRegCountExaminations</w:t>
            </w:r>
          </w:p>
        </w:tc>
        <w:tc>
          <w:tcPr>
            <w:tcW w:type="dxa" w:w="3600"/>
          </w:tcPr>
          <w:p>
            <w:r>
              <w:rPr>
                <w:rFonts w:ascii="Calibri" w:cs="Calibri" w:eastAsia="Calibri" w:hAnsi="Calibri"/>
                <w:sz w:val="20"/>
                <w:szCs w:val="20"/>
              </w:rPr>
              <w:t xml:space="preserve">POST {prg_id, scheme_id, semester_id}</w:t>
            </w:r>
          </w:p>
        </w:tc>
        <w:tc>
          <w:tcPr>
            <w:tcW w:type="dxa" w:w="3200"/>
          </w:tcPr>
          <w:p>
            <w:r>
              <w:rPr>
                <w:rFonts w:ascii="Calibri" w:cs="Calibri" w:eastAsia="Calibri" w:hAnsi="Calibri"/>
                <w:sz w:val="20"/>
                <w:szCs w:val="20"/>
              </w:rPr>
              <w:t xml:space="preserve">exams</w:t>
            </w:r>
          </w:p>
        </w:tc>
      </w:tr>
    </w:tbl>
    <w:p>
      <w:pPr>
        <w:pBdr>
          <w:left w:val="single" w:color="E8B923" w:sz="12"/>
        </w:pBdr>
        <w:shd w:fill="FFF6DA" w:val="clear"/>
        <w:spacing w:after="200" w:before="80"/>
        <w:ind w:left="120"/>
      </w:pPr>
      <w:r>
        <w:rPr>
          <w:rFonts w:ascii="Calibri" w:cs="Calibri" w:eastAsia="Calibri" w:hAnsi="Calibri"/>
          <w:i/>
          <w:iCs/>
          <w:sz w:val="20"/>
          <w:szCs w:val="20"/>
        </w:rPr>
        <w:t xml:space="preserve">ExamRegCountPrgmGroup's response key is "pgm_classes" but the data is a list of Programme objects (via ExamRegCountPrgmGroupSerializer) filtered by type and group, not programme classes — the same naming-vs-content mismatch pattern seen in scrutiny_report.py's cascading filters.</w:t>
      </w:r>
    </w:p>
    <w:p>
      <w:pPr>
        <w:pStyle w:val="Heading1"/>
        <w:spacing w:after="120" w:before="240"/>
      </w:pPr>
      <w:r>
        <w:t xml:space="preserve">Group B — College &amp; Course Registration Count Report</w:t>
      </w:r>
    </w:p>
    <w:p>
      <w:pPr>
        <w:pStyle w:val="Heading2"/>
        <w:spacing w:after="120" w:before="240"/>
      </w:pPr>
      <w:r>
        <w:t xml:space="preserve">1. ExamRegCountView</w:t>
      </w:r>
    </w:p>
    <w:p>
      <w:pPr>
        <w:spacing w:after="120"/>
      </w:pPr>
      <w:r>
        <w:rPr>
          <w:rFonts w:ascii="Calibri" w:cs="Calibri" w:eastAsia="Calibri" w:hAnsi="Calibri"/>
        </w:rPr>
        <w:t xml:space="preserve">POST — the main report: for every college/course combination under a programme/semester/exam, returns the registration count, choosing which registration statuses to include based on where today's date falls relative to the exam's "with super-fine" deadline.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0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1200"/>
            <w:shd w:fill="2F5496" w:val="clear"/>
          </w:tcPr>
          <w:p>
            <w:r>
              <w:rPr>
                <w:rFonts w:ascii="Calibri" w:cs="Calibri" w:eastAsia="Calibri" w:hAnsi="Calibri"/>
                <w:b/>
                <w:bCs/>
                <w:color w:val="FFFFFF"/>
                <w:sz w:val="20"/>
                <w:szCs w:val="20"/>
              </w:rPr>
              <w:t xml:space="preserve">Required</w:t>
            </w:r>
          </w:p>
        </w:tc>
        <w:tc>
          <w:tcPr>
            <w:tcW w:type="dxa" w:w="4000"/>
            <w:shd w:fill="2F5496" w:val="clear"/>
          </w:tcPr>
          <w:p>
            <w:r>
              <w:rPr>
                <w:rFonts w:ascii="Calibri" w:cs="Calibri" w:eastAsia="Calibri" w:hAnsi="Calibri"/>
                <w:b/>
                <w:bCs/>
                <w:color w:val="FFFFFF"/>
                <w:sz w:val="20"/>
                <w:szCs w:val="20"/>
              </w:rPr>
              <w:t xml:space="preserve">Notes</w:t>
            </w:r>
          </w:p>
        </w:tc>
      </w:tr>
      <w:tr>
        <w:tc>
          <w:tcPr>
            <w:tcW w:type="dxa" w:w="3200"/>
          </w:tcPr>
          <w:p>
            <w:r>
              <w:rPr>
                <w:rFonts w:ascii="Calibri" w:cs="Calibri" w:eastAsia="Calibri" w:hAnsi="Calibri"/>
                <w:sz w:val="20"/>
                <w:szCs w:val="20"/>
              </w:rPr>
              <w:t xml:space="preserve">prg, sem, programme_type_id, programme_group_id, scheme_id, exam</w:t>
            </w:r>
          </w:p>
        </w:tc>
        <w:tc>
          <w:tcPr>
            <w:tcW w:type="dxa" w:w="1200"/>
          </w:tcPr>
          <w:p>
            <w:r>
              <w:rPr>
                <w:rFonts w:ascii="Calibri" w:cs="Calibri" w:eastAsia="Calibri" w:hAnsi="Calibri"/>
                <w:sz w:val="20"/>
                <w:szCs w:val="20"/>
              </w:rPr>
              <w:t xml:space="preserve">Yes</w:t>
            </w:r>
          </w:p>
        </w:tc>
        <w:tc>
          <w:tcPr>
            <w:tcW w:type="dxa" w:w="4000"/>
          </w:tcPr>
          <w:p>
            <w:r>
              <w:rPr>
                <w:rFonts w:ascii="Calibri" w:cs="Calibri" w:eastAsia="Calibri" w:hAnsi="Calibri"/>
                <w:sz w:val="20"/>
                <w:szCs w:val="20"/>
              </w:rPr>
              <w:t xml:space="preserve">Read via direct dict indexing (jsondata['...']), not .get(...)</w:t>
            </w:r>
          </w:p>
        </w:tc>
      </w:tr>
    </w:tbl>
    <w:p>
      <w:pPr>
        <w:spacing w:after="100"/>
      </w:pPr>
    </w:p>
    <w:p>
      <w:pPr>
        <w:spacing w:after="120"/>
      </w:pPr>
      <w:r>
        <w:rPr>
          <w:rFonts w:ascii="Calibri" w:cs="Calibri" w:eastAsia="Calibri" w:hAnsi="Calibri"/>
        </w:rPr>
        <w:t xml:space="preserve">Processing flow:</w:t>
      </w:r>
    </w:p>
    <w:p>
      <w:pPr>
        <w:pStyle w:val="ListParagraph"/>
        <w:numPr>
          <w:ilvl w:val="0"/>
          <w:numId w:val="2"/>
        </w:numPr>
        <w:spacing w:after="80"/>
      </w:pPr>
      <w:r>
        <w:rPr>
          <w:rFonts w:ascii="Calibri" w:cs="Calibri" w:eastAsia="Calibri" w:hAnsi="Calibri"/>
        </w:rPr>
        <w:t xml:space="preserve">Resolves several display names (programme type/group/class title, scheme name, semester name) for the report header, via a series of chained .first() lookups.</w:t>
      </w:r>
    </w:p>
    <w:p>
      <w:pPr>
        <w:pStyle w:val="ListParagraph"/>
        <w:numPr>
          <w:ilvl w:val="0"/>
          <w:numId w:val="2"/>
        </w:numPr>
        <w:spacing w:after="80"/>
      </w:pPr>
      <w:r>
        <w:rPr>
          <w:rFonts w:ascii="Calibri" w:cs="Calibri" w:eastAsia="Calibri" w:hAnsi="Calibri"/>
        </w:rPr>
        <w:t xml:space="preserve">Finds the exam's ExaminationDate row with purpose EXAM_DATE_WITH_SUPER_FINE_PURPOSE to get exmend_date, then computes endDate = exmend_date + 20 days.</w:t>
      </w:r>
    </w:p>
    <w:p>
      <w:pPr>
        <w:pStyle w:val="ListParagraph"/>
        <w:numPr>
          <w:ilvl w:val="0"/>
          <w:numId w:val="2"/>
        </w:numPr>
        <w:spacing w:after="80"/>
      </w:pPr>
      <w:r>
        <w:rPr>
          <w:rFonts w:ascii="Calibri" w:cs="Calibri" w:eastAsia="Calibri" w:hAnsi="Calibri"/>
        </w:rPr>
        <w:t xml:space="preserve">If today is between exmend_date and endDate: includes both ACTIVE_STATE and HALLTICKET_PUBLISH_STATE registrations. If today is after endDate: includes only HALLTICKET_PUBLISH_STATE registrations. If today is before exmend_date: returns a specific STUDENTS_NOT_REGISTERED error.</w:t>
      </w:r>
    </w:p>
    <w:p>
      <w:pPr>
        <w:pStyle w:val="ListParagraph"/>
        <w:numPr>
          <w:ilvl w:val="0"/>
          <w:numId w:val="2"/>
        </w:numPr>
        <w:spacing w:after="80"/>
      </w:pPr>
      <w:r>
        <w:rPr>
          <w:rFonts w:ascii="Calibri" w:cs="Calibri" w:eastAsia="Calibri" w:hAnsi="Calibri"/>
        </w:rPr>
        <w:t xml:space="preserve">For each college code × course combination, counts matching ExamRegistrationCourseMapper rows and appends one summary row per combination that has at least one match.</w:t>
      </w:r>
    </w:p>
    <w:p>
      <w:pPr>
        <w:spacing w:after="120"/>
      </w:pPr>
      <w:r>
        <w:rPr>
          <w:rFonts w:ascii="Calibri" w:cs="Calibri" w:eastAsia="Calibri" w:hAnsi="Calibri"/>
        </w:rPr>
        <w:t xml:space="preserve">Response: a bare list of per-college/course rows (each including the header display names repeated) · status 200.</w:t>
      </w: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examreg_end_date = ExaminationDate.objects.filter(...).first() is dereferenced (.end_date) with no None-check — if no ExaminationDate row exists for this exam/purpose, this raises AttributeError before the three-way date-window branch (which itself looks like it was designed to handle a range of "not yet in the registration window" cases) ever gets a chance to return its own, more specific STUDENTS_NOT_REGISTERED response.</w:t>
      </w:r>
    </w:p>
    <w:p>
      <w:pPr>
        <w:pBdr>
          <w:left w:val="single" w:color="C00000" w:sz="12"/>
        </w:pBdr>
        <w:shd w:fill="FDE7E7" w:val="clear"/>
        <w:spacing w:after="200" w:before="80"/>
        <w:ind w:left="120"/>
      </w:pPr>
      <w:r>
        <w:rPr>
          <w:rFonts w:ascii="Calibri" w:cs="Calibri" w:eastAsia="Calibri" w:hAnsi="Calibri"/>
          <w:i/>
          <w:iCs/>
          <w:sz w:val="20"/>
          <w:szCs w:val="20"/>
        </w:rPr>
        <w:t xml:space="preserve">Because jsondata['prg'], jsondata['sem'], etc. use direct dict indexing rather than .get(...), any missing field raises KeyError immediately — this is caught by the outer except, but produces the same generic BAD_GATEWAY response as every other failure mode in this method, giving no indication that the real issue was a missing request field.</w:t>
      </w:r>
    </w:p>
    <w:p>
      <w:pPr>
        <w:pBdr>
          <w:left w:val="single" w:color="E8B923" w:sz="12"/>
        </w:pBdr>
        <w:shd w:fill="FFF6DA" w:val="clear"/>
        <w:spacing w:after="200" w:before="80"/>
        <w:ind w:left="120"/>
      </w:pPr>
      <w:r>
        <w:rPr>
          <w:rFonts w:ascii="Calibri" w:cs="Calibri" w:eastAsia="Calibri" w:hAnsi="Calibri"/>
          <w:i/>
          <w:iCs/>
          <w:sz w:val="20"/>
          <w:szCs w:val="20"/>
        </w:rPr>
        <w:t xml:space="preserve">pgm_typ_id_name = pgm_id_obj.programme_type.title is computed twice in a row (identical lines back to back) — harmless but a clear copy-paste leftover.</w:t>
      </w:r>
    </w:p>
    <w:p>
      <w:pPr>
        <w:pBdr>
          <w:left w:val="single" w:color="E8B923" w:sz="12"/>
        </w:pBdr>
        <w:shd w:fill="FFF6DA" w:val="clear"/>
        <w:spacing w:after="200" w:before="80"/>
        <w:ind w:left="120"/>
      </w:pPr>
      <w:r>
        <w:rPr>
          <w:rFonts w:ascii="Calibri" w:cs="Calibri" w:eastAsia="Calibri" w:hAnsi="Calibri"/>
          <w:i/>
          <w:iCs/>
          <w:sz w:val="20"/>
          <w:szCs w:val="20"/>
        </w:rPr>
        <w:t xml:space="preserve">Several stray print() debug statements remain in the success path (print("\nyyyyyy"), print("\nresult_data", result_data)).</w:t>
      </w:r>
    </w:p>
    <w:p>
      <w:pPr>
        <w:pStyle w:val="Heading2"/>
        <w:spacing w:after="120" w:before="240"/>
      </w:pPr>
      <w:r>
        <w:t xml:space="preserve">2. ExamRegCountPrint</w:t>
      </w:r>
    </w:p>
    <w:p>
      <w:pPr>
        <w:spacing w:after="120"/>
      </w:pPr>
      <w:r>
        <w:rPr>
          <w:rFonts w:ascii="Calibri" w:cs="Calibri" w:eastAsia="Calibri" w:hAnsi="Calibri"/>
        </w:rPr>
        <w:t xml:space="preserve">POST — the print layout for the same report, resolving the same header display names independently.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5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5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programme_type_id, programme_group_id, programme_id, scheme_id, semester_id, exam</w:t>
            </w:r>
          </w:p>
        </w:tc>
        <w:tc>
          <w:tcPr>
            <w:tcW w:type="dxa" w:w="5200"/>
          </w:tcPr>
          <w:p>
            <w:r>
              <w:rPr>
                <w:rFonts w:ascii="Calibri" w:cs="Calibri" w:eastAsia="Calibri" w:hAnsi="Calibri"/>
                <w:sz w:val="20"/>
                <w:szCs w:val="20"/>
              </w:rPr>
              <w:t xml:space="preserve">Yes</w:t>
            </w:r>
          </w:p>
        </w:tc>
      </w:tr>
    </w:tbl>
    <w:p>
      <w:pPr>
        <w:spacing w:after="100"/>
      </w:pP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Unlike ExamRegCountView's date-window logic (ACTIVE_STATE + HALLTICKET_PUBLISH_STATE within the grace window, HALLTICKET_PUBLISH_STATE only afterward), this print view filters registrations with a single hardcoded `exam_registration__status_id=13` and no date-window branching at all. If the on-screen report and the print report are meant to show the same figures, this discrepancy means the printed counts can differ from what the user just saw on screen, depending on where today falls relative to the exam's grace-period window and on whether status id 13 corresponds to the same status(es) ExamRegCountView would have included for that date.</w:t>
      </w:r>
    </w:p>
    <w:p>
      <w:pPr>
        <w:pBdr>
          <w:left w:val="single" w:color="C00000" w:sz="12"/>
        </w:pBdr>
        <w:shd w:fill="FDE7E7" w:val="clear"/>
        <w:spacing w:after="200" w:before="80"/>
        <w:ind w:left="120"/>
      </w:pPr>
      <w:r>
        <w:rPr>
          <w:rFonts w:ascii="Calibri" w:cs="Calibri" w:eastAsia="Calibri" w:hAnsi="Calibri"/>
          <w:i/>
          <w:iCs/>
          <w:sz w:val="20"/>
          <w:szCs w:val="20"/>
        </w:rPr>
        <w:t xml:space="preserve">exam_id_obj = ExaminationCenterExamMapping.objects.filter(exam_id=exam_id).first() is dereferenced (.exam.title) with no None-check, as are several of the other .first() lookups earlier in this method (pgm_typ_id_obj, pgm_grp_id_obj, pgm_id_obj, sem_scheme_id_obj) — any missing reference row raises AttributeError.</w:t>
      </w:r>
    </w:p>
    <w:p>
      <w:pPr>
        <w:pBdr>
          <w:left w:val="single" w:color="E8B923" w:sz="12"/>
        </w:pBdr>
        <w:shd w:fill="FFF6DA" w:val="clear"/>
        <w:spacing w:after="200" w:before="80"/>
        <w:ind w:left="120"/>
      </w:pPr>
      <w:r>
        <w:rPr>
          <w:rFonts w:ascii="Calibri" w:cs="Calibri" w:eastAsia="Calibri" w:hAnsi="Calibri"/>
          <w:i/>
          <w:iCs/>
          <w:sz w:val="20"/>
          <w:szCs w:val="20"/>
        </w:rPr>
        <w:t xml:space="preserve">A stray print("data", data) debug statement remains just before the return.</w:t>
      </w:r>
    </w:p>
    <w:p>
      <w:pPr>
        <w:pStyle w:val="Heading1"/>
        <w:spacing w:after="120" w:before="240"/>
      </w:pPr>
      <w:r>
        <w:t xml:space="preserve">Group C — Registration Count Summaries</w:t>
      </w:r>
    </w:p>
    <w:p>
      <w:pPr>
        <w:pStyle w:val="Heading1"/>
        <w:spacing w:after="120" w:before="240"/>
      </w:pPr>
      <w:r>
        <w:t xml:space="preserve">3. ExamRegStudentCount</w:t>
      </w:r>
    </w:p>
    <w:p>
      <w:pPr>
        <w:pStyle w:val="Heading2"/>
        <w:spacing w:after="120" w:before="240"/>
      </w:pPr>
      <w:r>
        <w:t xml:space="preserve">GET</w:t>
      </w:r>
    </w:p>
    <w:p>
      <w:pPr>
        <w:spacing w:after="120"/>
      </w:pPr>
      <w:r>
        <w:rPr>
          <w:rFonts w:ascii="Calibri" w:cs="Calibri" w:eastAsia="Calibri" w:hAnsi="Calibri"/>
        </w:rPr>
        <w:t xml:space="preserve">Renders the page shell — status 200.</w:t>
      </w:r>
    </w:p>
    <w:p>
      <w:pPr>
        <w:pStyle w:val="Heading2"/>
        <w:spacing w:after="120" w:before="240"/>
      </w:pPr>
      <w:r>
        <w:t xml:space="preserve">POST</w:t>
      </w:r>
    </w:p>
    <w:p>
      <w:pPr>
        <w:spacing w:after="120"/>
      </w:pPr>
      <w:r>
        <w:rPr>
          <w:rFonts w:ascii="Calibri" w:cs="Calibri" w:eastAsia="Calibri" w:hAnsi="Calibri"/>
        </w:rPr>
        <w:t xml:space="preserve">Returns total/regular/supplementary-or-improvement registration counts for an exam, based on successful payments.</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exam_code</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Validates the exam code exists (404 INVALID_EXAMCODE if not) before proceeding. Response: { exam_name, exam_code, total, sup_imp_count, reg_count } · status 200.</w:t>
      </w:r>
    </w:p>
    <w:p>
      <w:pPr>
        <w:pStyle w:val="Heading1"/>
        <w:spacing w:after="120" w:before="240"/>
      </w:pPr>
      <w:r>
        <w:t xml:space="preserve">4. ExamRegCollegeStudentCount</w:t>
      </w:r>
    </w:p>
    <w:p>
      <w:pPr>
        <w:pStyle w:val="Heading2"/>
        <w:spacing w:after="120" w:before="240"/>
      </w:pPr>
      <w:r>
        <w:t xml:space="preserve">POST</w:t>
      </w:r>
    </w:p>
    <w:p>
      <w:pPr>
        <w:spacing w:after="120"/>
      </w:pPr>
      <w:r>
        <w:rPr>
          <w:rFonts w:ascii="Calibri" w:cs="Calibri" w:eastAsia="Calibri" w:hAnsi="Calibri"/>
        </w:rPr>
        <w:t xml:space="preserve">Returns the same kind of counts as ExamRegStudentCount, broken down per college.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exam_code</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college_data: [{ college_name, college_code, total_count, regular_count, sup_imp_count }]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Unlike its sibling ExamRegStudentCount, this view does NOT validate that the exam code resolves to a real Examination before proceeding — exam = Examination.objects.filter(code=exam_code).first() can be None, and the subsequent ExamRegistrationPaymentType.objects.filter(exam_registration__exam=exam, ...) query would then filter on exam=None. Depending on the ORM/database, this most likely returns an empty result set silently (an empty college_data list) rather than raising or reporting "invalid exam code" — so an invalid exam code here produces a quietly empty report instead of the clear error message its sibling view would give for the same input.</w:t>
      </w:r>
    </w:p>
    <w:p>
      <w:pPr>
        <w:pBdr>
          <w:left w:val="single" w:color="E8B923" w:sz="12"/>
        </w:pBdr>
        <w:shd w:fill="FFF6DA" w:val="clear"/>
        <w:spacing w:after="200" w:before="80"/>
        <w:ind w:left="120"/>
      </w:pPr>
      <w:r>
        <w:rPr>
          <w:rFonts w:ascii="Calibri" w:cs="Calibri" w:eastAsia="Calibri" w:hAnsi="Calibri"/>
          <w:i/>
          <w:iCs/>
          <w:sz w:val="20"/>
          <w:szCs w:val="20"/>
        </w:rPr>
        <w:t xml:space="preserve">A single ExamRegistration can be counted in BOTH regular_count and sup_imp_count for the same college if it has course mappings of both exam_type 1 and exam_type 2/3 — meaning regular_count + sup_imp_count is not guaranteed to equal total_count. This may be an intentional bucketing (a registration can be "partly regular, partly supplementary") but is worth confirming, since a reader of the report might otherwise expect the two to sum to the total.</w:t>
      </w:r>
    </w:p>
    <w:p>
      <w:pPr>
        <w:pStyle w:val="Heading1"/>
        <w:spacing w:after="120" w:before="240"/>
      </w:pPr>
      <w:r>
        <w:t xml:space="preserve">5. ExamRegCourseStudentCount</w:t>
      </w:r>
    </w:p>
    <w:p>
      <w:pPr>
        <w:pStyle w:val="Heading2"/>
        <w:spacing w:after="120" w:before="240"/>
      </w:pPr>
      <w:r>
        <w:t xml:space="preserve">POST</w:t>
      </w:r>
    </w:p>
    <w:p>
      <w:pPr>
        <w:spacing w:after="120"/>
      </w:pPr>
      <w:r>
        <w:rPr>
          <w:rFonts w:ascii="Calibri" w:cs="Calibri" w:eastAsia="Calibri" w:hAnsi="Calibri"/>
        </w:rPr>
        <w:t xml:space="preserve">Returns registration counts broken down per course for an exam.</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exam_code</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Response: { course_data: [{ course_name, course_code, reg_count, supimp_count, overall_count }] } · status 200.</w:t>
      </w:r>
    </w:p>
    <w:p>
      <w:pPr>
        <w:pBdr>
          <w:left w:val="single" w:color="C00000" w:sz="12"/>
        </w:pBdr>
        <w:shd w:fill="FDE7E7" w:val="clear"/>
        <w:spacing w:after="200" w:before="80"/>
        <w:ind w:left="120"/>
      </w:pPr>
      <w:r>
        <w:rPr>
          <w:rFonts w:ascii="Calibri" w:cs="Calibri" w:eastAsia="Calibri" w:hAnsi="Calibri"/>
          <w:i/>
          <w:iCs/>
          <w:sz w:val="20"/>
          <w:szCs w:val="20"/>
        </w:rPr>
        <w:t xml:space="preserve">Same missing exam-code validation as ExamRegCollegeStudentCount — an unmatched exam_code silently proceeds with exam=None rather than returning a clear error.</w:t>
      </w:r>
    </w:p>
    <w:p>
      <w:pPr>
        <w:pStyle w:val="Heading1"/>
        <w:spacing w:after="120" w:before="240"/>
      </w:pPr>
      <w:r>
        <w:t xml:space="preserve">Cross-cutting observations</w:t>
      </w:r>
    </w:p>
    <w:p>
      <w:pPr>
        <w:pStyle w:val="ListParagraph"/>
        <w:numPr>
          <w:ilvl w:val="0"/>
          <w:numId w:val="3"/>
        </w:numPr>
        <w:spacing w:after="80"/>
      </w:pPr>
      <w:r>
        <w:rPr>
          <w:rFonts w:ascii="Calibri" w:cs="Calibri" w:eastAsia="Calibri" w:hAnsi="Calibri"/>
        </w:rPr>
        <w:t xml:space="preserve">ExamRegCountView and ExamRegCountPrint compute an almost identical block of header display-name lookups independently — a shared helper would reduce duplication and the risk introduced by the date-window/status-filter discrepancy noted above.</w:t>
      </w:r>
    </w:p>
    <w:p>
      <w:pPr>
        <w:pStyle w:val="ListParagraph"/>
        <w:numPr>
          <w:ilvl w:val="0"/>
          <w:numId w:val="3"/>
        </w:numPr>
        <w:spacing w:after="80"/>
      </w:pPr>
      <w:r>
        <w:rPr>
          <w:rFonts w:ascii="Calibri" w:cs="Calibri" w:eastAsia="Calibri" w:hAnsi="Calibri"/>
        </w:rPr>
        <w:t xml:space="preserve">Exam-code validation is inconsistent across the three summary views in Group C: ExamRegStudentCount checks and reports INVALID_EXAMCODE explicitly, while ExamRegCollegeStudentCount and ExamRegCourseStudentCount do not, silently producing an empty/zero report for an invalid code instead.</w:t>
      </w:r>
    </w:p>
    <w:p>
      <w:pPr>
        <w:pStyle w:val="ListParagraph"/>
        <w:numPr>
          <w:ilvl w:val="0"/>
          <w:numId w:val="3"/>
        </w:numPr>
        <w:spacing w:after="80"/>
      </w:pPr>
      <w:r>
        <w:rPr>
          <w:rFonts w:ascii="Calibri" w:cs="Calibri" w:eastAsia="Calibri" w:hAnsi="Calibri"/>
        </w:rPr>
        <w:t xml:space="preserve">No view in this file sets permission_classes.</w:t>
      </w:r>
    </w:p>
    <w:p>
      <w:pPr>
        <w:pStyle w:val="ListParagraph"/>
        <w:numPr>
          <w:ilvl w:val="0"/>
          <w:numId w:val="3"/>
        </w:numPr>
        <w:spacing w:after="80"/>
      </w:pPr>
      <w:r>
        <w:rPr>
          <w:rFonts w:ascii="Calibri" w:cs="Calibri" w:eastAsia="Calibri" w:hAnsi="Calibri"/>
        </w:rPr>
        <w:t xml:space="preserve">Several `.first()` results across this file (examreg_end_date, exam_id_obj, sem_scheme_id_obj, pgm_typ_id_obj, pgm_grp_id_obj) are dereferenced without a None-check, consistent with the pattern seen throughout this codebase.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2026-09-02T09:55:43.682Z</dcterms:created>
  <dcterms:modified xsi:type="dcterms:W3CDTF">2026-09-02T09:55:43.682Z</dcterms:modified>
</cp:coreProperties>
</file>

<file path=docProps/custom.xml><?xml version="1.0" encoding="utf-8"?>
<Properties xmlns="http://schemas.openxmlformats.org/officeDocument/2006/custom-properties" xmlns:vt="http://schemas.openxmlformats.org/officeDocument/2006/docPropsVTypes"/>
</file>