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F5496"/>
          <w:sz w:val="56"/>
          <w:szCs w:val="56"/>
        </w:rPr>
        <w:t xml:space="preserve">Revaluation Management API</w:t>
      </w:r>
    </w:p>
    <w:p>
      <w:pPr>
        <w:spacing w:after="40"/>
      </w:pPr>
      <w:r>
        <w:rPr>
          <w:rFonts w:ascii="Calibri" w:cs="Calibri" w:eastAsia="Calibri" w:hAnsi="Calibri"/>
          <w:color w:val="595959"/>
          <w:sz w:val="28"/>
          <w:szCs w:val="28"/>
        </w:rPr>
        <w:t xml:space="preserve">revaluation_management.py — API Reference</w:t>
      </w:r>
    </w:p>
    <w:p>
      <w:pPr>
        <w:spacing w:after="40"/>
      </w:pPr>
      <w:r>
        <w:rPr>
          <w:rFonts w:ascii="Calibri" w:cs="Calibri" w:eastAsia="Calibri" w:hAnsi="Calibri"/>
          <w:i/>
          <w:iCs/>
          <w:color w:val="808080"/>
          <w:sz w:val="20"/>
          <w:szCs w:val="20"/>
        </w:rPr>
        <w:t xml:space="preserve">Module: the largest file in this codebase (22 view classes, ~2,890 lines) — camp-wise revaluation application listing, second/third-level eligibility lists, status reporting, combined revaluation+scrutiny listing, memo generation/printing, and a full student result computation/regeneration pipeline.</w:t>
      </w:r>
    </w:p>
    <w:p>
      <w:pPr>
        <w:pBdr>
          <w:bottom w:val="single" w:color="2F5496" w:sz="6"/>
        </w:pBdr>
        <w:spacing w:after="400"/>
      </w:pPr>
      <w:r>
        <w:rPr>
          <w:rFonts w:ascii="Calibri" w:cs="Calibri" w:eastAsia="Calibri" w:hAnsi="Calibri"/>
          <w:color w:val="808080"/>
          <w:sz w:val="20"/>
          <w:szCs w:val="20"/>
        </w:rPr>
        <w:t xml:space="preserve">Base classes: rest_framework.views.APIView, rest_framework.generics.ListAPIView   ·   No explicit permission_classes set on any view in this file.</w:t>
      </w:r>
    </w:p>
    <w:p>
      <w:pPr>
        <w:pStyle w:val="Heading1"/>
        <w:spacing w:after="120" w:before="240"/>
      </w:pPr>
      <w:r>
        <w:t xml:space="preserve">Module-level helper functions</w:t>
      </w:r>
    </w:p>
    <w:p>
      <w:pPr>
        <w:spacing w:after="120"/>
      </w:pPr>
      <w:r>
        <w:rPr>
          <w:rFonts w:ascii="Calibri" w:cs="Calibri" w:eastAsia="Calibri" w:hAnsi="Calibri"/>
        </w:rPr>
        <w:t xml:space="preserve">EmailThread / Util.send_email — the same fire-and-forget email helper documented in notifications.py, smp.py, and scrutiny_management.py, redefined locally here again.</w:t>
      </w:r>
    </w:p>
    <w:p>
      <w:pPr>
        <w:spacing w:after="120"/>
      </w:pPr>
      <w:r>
        <w:rPr>
          <w:rFonts w:ascii="Calibri" w:cs="Calibri" w:eastAsia="Calibri" w:hAnsi="Calibri"/>
        </w:rPr>
        <w:t xml:space="preserve">sort_final_data(data_set, order_bundle) — sorts by bundle_code or candidate_code, same as the scrutiny_management.py version.</w:t>
      </w:r>
    </w:p>
    <w:p>
      <w:pPr>
        <w:spacing w:after="120"/>
      </w:pPr>
      <w:r>
        <w:rPr>
          <w:rFonts w:ascii="Calibri" w:cs="Calibri" w:eastAsia="Calibri" w:hAnsi="Calibri"/>
        </w:rPr>
        <w:t xml:space="preserve">rev_rslt_publishable(rev_crs) — filters a RevaluationCourse queryset down to only those belonging to an application where EVERY course has reached COMPLETED_STATE (i.e. the whole application is finished, not just this one course).</w:t>
      </w:r>
    </w:p>
    <w:p>
      <w:pPr>
        <w:spacing w:after="120"/>
      </w:pPr>
      <w:r>
        <w:rPr>
          <w:rFonts w:ascii="Calibri" w:cs="Calibri" w:eastAsia="Calibri" w:hAnsi="Calibri"/>
          <w:b/>
          <w:bCs/>
        </w:rPr>
        <w:t xml:space="preserve">course_camp_list_gen(course, camp_id, programme_id, semester_id)</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Identical to the version in scrutiny_management.py: the camp_id parameter and the 'All camps' vs specific-camp branching is dead code — `if True:` unconditionally takes the "fetch every camp" branch, so camp_id has no effect on the result regardless of what the caller passes. Every view in this file that calls this function (most of the camp-wise and eligibility-list views below) is therefore unable to actually filter by a single camp.</w:t>
      </w:r>
    </w:p>
    <w:p>
      <w:pPr>
        <w:spacing w:after="120"/>
      </w:pPr>
      <w:r>
        <w:rPr>
          <w:rFonts w:ascii="Calibri" w:cs="Calibri" w:eastAsia="Calibri" w:hAnsi="Calibri"/>
        </w:rPr>
        <w:t xml:space="preserve">revaluation_application_filter(data_set, rev_type_list) — the core query resolving RevaluationApplication records for a programme/semester/exam/course/camp combination, with the same 2024-05-13 payment-status date-cutoff special case documented in scrutiny_management.py's scrutiny_application_filter.</w:t>
      </w:r>
    </w:p>
    <w:p>
      <w:pPr>
        <w:spacing w:after="120"/>
      </w:pPr>
      <w:r>
        <w:rPr>
          <w:rFonts w:ascii="Calibri" w:cs="Calibri" w:eastAsia="Calibri" w:hAnsi="Calibri"/>
        </w:rPr>
        <w:t xml:space="preserve">mark_decryption(encryp_mark), mark_encrpt(data) — the same Fernet-based helpers duplicated across this whole codebase's scrutiny/revaluation files.</w:t>
      </w:r>
    </w:p>
    <w:p>
      <w:pPr>
        <w:spacing w:after="120"/>
      </w:pPr>
      <w:r>
        <w:rPr>
          <w:rFonts w:ascii="Calibri" w:cs="Calibri" w:eastAsia="Calibri" w:hAnsi="Calibri"/>
          <w:b/>
          <w:bCs/>
        </w:rPr>
        <w:t xml:space="preserve">sec_eligibility_check(org, first, total, flag), third_eligibility_check(first, second, total, flag)</w:t>
      </w:r>
    </w:p>
    <w:p>
      <w:pPr>
        <w:pBdr>
          <w:left w:val="single" w:color="C00000" w:sz="12"/>
        </w:pBdr>
        <w:shd w:fill="FDE7E7" w:val="clear"/>
        <w:spacing w:after="200" w:before="80"/>
        <w:ind w:left="120"/>
      </w:pPr>
      <w:r>
        <w:rPr>
          <w:rFonts w:ascii="Calibri" w:cs="Calibri" w:eastAsia="Calibri" w:hAnsi="Calibri"/>
          <w:i/>
          <w:iCs/>
          <w:sz w:val="20"/>
          <w:szCs w:val="20"/>
        </w:rPr>
        <w:t xml:space="preserve">Both functions implement a percentage-difference mark-comparison rule (intended to decide whether a candidate qualifies for second/third-level re-evaluation based on how much their marks diverge). Neither is called anywhere in this file outside of commented-out code — the actual eligibility views below (RevaluationSecondLevelEligibleList, RevaluationThirdLevelEligibleList and their Print variants) have this mark-comparison logic fully commented out and instead just check for the pre-existence of a RevaluationNextLevelEvaluationEligibleFalseNumber record. Whatever process is meant to populate that record with the mark-based rule isn't in this file — worth confirming where (if anywhere) sec_eligibility_check/third_eligibility_check are still actually used, since as far as this file shows, they're unreachable dead code.</w:t>
      </w:r>
    </w:p>
    <w:p>
      <w:pPr>
        <w:pBdr>
          <w:left w:val="single" w:color="E8B923" w:sz="12"/>
        </w:pBdr>
        <w:shd w:fill="FFF6DA" w:val="clear"/>
        <w:spacing w:after="200" w:before="80"/>
        <w:ind w:left="120"/>
      </w:pPr>
      <w:r>
        <w:rPr>
          <w:rFonts w:ascii="Calibri" w:cs="Calibri" w:eastAsia="Calibri" w:hAnsi="Calibri"/>
          <w:i/>
          <w:iCs/>
          <w:sz w:val="20"/>
          <w:szCs w:val="20"/>
        </w:rPr>
        <w:t xml:space="preserve">The module-level `logger` is never assigned in this file — the two lines that would do so (`from util.loggings import logging` / `logger=logging.getLogger(__name__)`) are commented out at the top. Every `logger.error(...)` call throughout this file therefore depends on `logger` being supplied by one of the wildcard imports (util.constants, util.serializers, util.models, or scrutiny.serializers) — the same implicit-dependency pattern seen with Fernet in the scrutiny files, just for logging instead of encryption here.</w:t>
      </w:r>
    </w:p>
    <w:p>
      <w:pPr>
        <w:pStyle w:val="Heading1"/>
        <w:spacing w:after="120" w:before="240"/>
      </w:pPr>
      <w:r>
        <w:t xml:space="preserve">Group A — Camp-Wise Revaluation Application Listing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800"/>
      </w:tblGrid>
      <w:tr>
        <w:trPr>
          <w:tblHeader/>
        </w:trPr>
        <w:tc>
          <w:tcPr>
            <w:tcW w:type="dxa" w:w="2800"/>
            <w:shd w:fill="2F5496" w:val="clear"/>
          </w:tcPr>
          <w:p>
            <w:r>
              <w:rPr>
                <w:rFonts w:ascii="Calibri" w:cs="Calibri" w:eastAsia="Calibri" w:hAnsi="Calibri"/>
                <w:b/>
                <w:bCs/>
                <w:color w:val="FFFFFF"/>
                <w:sz w:val="20"/>
                <w:szCs w:val="20"/>
              </w:rPr>
              <w:t xml:space="preserve">View</w:t>
            </w:r>
          </w:p>
        </w:tc>
        <w:tc>
          <w:tcPr>
            <w:tcW w:type="dxa" w:w="3600"/>
            <w:shd w:fill="2F5496" w:val="clear"/>
          </w:tcPr>
          <w:p>
            <w:r>
              <w:rPr>
                <w:rFonts w:ascii="Calibri" w:cs="Calibri" w:eastAsia="Calibri" w:hAnsi="Calibri"/>
                <w:b/>
                <w:bCs/>
                <w:color w:val="FFFFFF"/>
                <w:sz w:val="20"/>
                <w:szCs w:val="20"/>
              </w:rPr>
              <w:t xml:space="preserve">Method &amp; input</w:t>
            </w:r>
          </w:p>
        </w:tc>
        <w:tc>
          <w:tcPr>
            <w:tcW w:type="dxa" w:w="2800"/>
            <w:shd w:fill="2F5496" w:val="clear"/>
          </w:tcPr>
          <w:p>
            <w:r>
              <w:rPr>
                <w:rFonts w:ascii="Calibri" w:cs="Calibri" w:eastAsia="Calibri" w:hAnsi="Calibri"/>
                <w:b/>
                <w:bCs/>
                <w:color w:val="FFFFFF"/>
                <w:sz w:val="20"/>
                <w:szCs w:val="20"/>
              </w:rPr>
              <w:t xml:space="preserve">Response</w:t>
            </w:r>
          </w:p>
        </w:tc>
      </w:tr>
      <w:tr>
        <w:tc>
          <w:tcPr>
            <w:tcW w:type="dxa" w:w="2800"/>
          </w:tcPr>
          <w:p>
            <w:r>
              <w:rPr>
                <w:rFonts w:ascii="Calibri" w:cs="Calibri" w:eastAsia="Calibri" w:hAnsi="Calibri"/>
                <w:sz w:val="20"/>
                <w:szCs w:val="20"/>
              </w:rPr>
              <w:t xml:space="preserve">CampWiseRevaluationApplication</w:t>
            </w:r>
          </w:p>
        </w:tc>
        <w:tc>
          <w:tcPr>
            <w:tcW w:type="dxa" w:w="3600"/>
          </w:tcPr>
          <w:p>
            <w:r>
              <w:rPr>
                <w:rFonts w:ascii="Calibri" w:cs="Calibri" w:eastAsia="Calibri" w:hAnsi="Calibri"/>
                <w:sz w:val="20"/>
                <w:szCs w:val="20"/>
              </w:rPr>
              <w:t xml:space="preserve">GET (none — scoped to caller's subsections)</w:t>
            </w:r>
          </w:p>
        </w:tc>
        <w:tc>
          <w:tcPr>
            <w:tcW w:type="dxa" w:w="2800"/>
          </w:tcPr>
          <w:p>
            <w:r>
              <w:rPr>
                <w:rFonts w:ascii="Calibri" w:cs="Calibri" w:eastAsia="Calibri" w:hAnsi="Calibri"/>
                <w:sz w:val="20"/>
                <w:szCs w:val="20"/>
              </w:rPr>
              <w:t xml:space="preserve">pgm_types</w:t>
            </w:r>
          </w:p>
        </w:tc>
      </w:tr>
      <w:tr>
        <w:tc>
          <w:tcPr>
            <w:tcW w:type="dxa" w:w="2800"/>
          </w:tcPr>
          <w:p>
            <w:r>
              <w:rPr>
                <w:rFonts w:ascii="Calibri" w:cs="Calibri" w:eastAsia="Calibri" w:hAnsi="Calibri"/>
                <w:sz w:val="20"/>
                <w:szCs w:val="20"/>
              </w:rPr>
              <w:t xml:space="preserve">CampWiseRevaluationApplicationBundles</w:t>
            </w:r>
          </w:p>
        </w:tc>
        <w:tc>
          <w:tcPr>
            <w:tcW w:type="dxa" w:w="3600"/>
          </w:tcPr>
          <w:p>
            <w:r>
              <w:rPr>
                <w:rFonts w:ascii="Calibri" w:cs="Calibri" w:eastAsia="Calibri" w:hAnsi="Calibri"/>
                <w:sz w:val="20"/>
                <w:szCs w:val="20"/>
              </w:rPr>
              <w:t xml:space="preserve">POST {camp_schedule_id, examid, course, programme_id, semester_id, order_bundle}</w:t>
            </w:r>
          </w:p>
        </w:tc>
        <w:tc>
          <w:tcPr>
            <w:tcW w:type="dxa" w:w="2800"/>
          </w:tcPr>
          <w:p>
            <w:r>
              <w:rPr>
                <w:rFonts w:ascii="Calibri" w:cs="Calibri" w:eastAsia="Calibri" w:hAnsi="Calibri"/>
                <w:sz w:val="20"/>
                <w:szCs w:val="20"/>
              </w:rPr>
              <w:t xml:space="preserve">scrutiny_applications (candidate/course/bundle/marks list)</w:t>
            </w:r>
          </w:p>
        </w:tc>
      </w:tr>
      <w:tr>
        <w:tc>
          <w:tcPr>
            <w:tcW w:type="dxa" w:w="2800"/>
          </w:tcPr>
          <w:p>
            <w:r>
              <w:rPr>
                <w:rFonts w:ascii="Calibri" w:cs="Calibri" w:eastAsia="Calibri" w:hAnsi="Calibri"/>
                <w:sz w:val="20"/>
                <w:szCs w:val="20"/>
              </w:rPr>
              <w:t xml:space="preserve">CampWiseRevaluationApplicationBundlesPrint</w:t>
            </w:r>
          </w:p>
        </w:tc>
        <w:tc>
          <w:tcPr>
            <w:tcW w:type="dxa" w:w="3600"/>
          </w:tcPr>
          <w:p>
            <w:r>
              <w:rPr>
                <w:rFonts w:ascii="Calibri" w:cs="Calibri" w:eastAsia="Calibri" w:hAnsi="Calibri"/>
                <w:sz w:val="20"/>
                <w:szCs w:val="20"/>
              </w:rPr>
              <w:t xml:space="preserve">POST — same fields plus display-only ones (semester, camp, scheme, cls, group_id, type_id, class_id)</w:t>
            </w:r>
          </w:p>
        </w:tc>
        <w:tc>
          <w:tcPr>
            <w:tcW w:type="dxa" w:w="2800"/>
          </w:tcPr>
          <w:p>
            <w:r>
              <w:rPr>
                <w:rFonts w:ascii="Calibri" w:cs="Calibri" w:eastAsia="Calibri" w:hAnsi="Calibri"/>
                <w:sz w:val="20"/>
                <w:szCs w:val="20"/>
              </w:rPr>
              <w:t xml:space="preserve">Same list plus qp_code/digitalfalseno/camp_name, for a print layout</w:t>
            </w:r>
          </w:p>
        </w:tc>
      </w:tr>
    </w:tbl>
    <w:p>
      <w:pPr>
        <w:spacing w:after="100"/>
      </w:pPr>
    </w:p>
    <w:p>
      <w:pPr>
        <w:pBdr>
          <w:left w:val="single" w:color="E8B923" w:sz="12"/>
        </w:pBdr>
        <w:shd w:fill="FFF6DA" w:val="clear"/>
        <w:spacing w:after="200" w:before="80"/>
        <w:ind w:left="120"/>
      </w:pPr>
      <w:r>
        <w:rPr>
          <w:rFonts w:ascii="Calibri" w:cs="Calibri" w:eastAsia="Calibri" w:hAnsi="Calibri"/>
          <w:i/>
          <w:iCs/>
          <w:sz w:val="20"/>
          <w:szCs w:val="20"/>
        </w:rPr>
        <w:t xml:space="preserve">CampWiseRevaluationApplication.get()'s except block has its logger.error(...) call commented out — this is the only exception handler in the whole file with no logging at all; a failure here leaves no trace beyond the generic error response returned to the caller.</w:t>
      </w:r>
    </w:p>
    <w:p>
      <w:pPr>
        <w:pStyle w:val="Heading1"/>
        <w:spacing w:after="120" w:before="240"/>
      </w:pPr>
      <w:r>
        <w:t xml:space="preserve">Group B — Second/Third-Level Eligibility Lists</w:t>
      </w:r>
    </w:p>
    <w:p>
      <w:pPr>
        <w:spacing w:after="120"/>
      </w:pPr>
      <w:r>
        <w:rPr>
          <w:rFonts w:ascii="Calibri" w:cs="Calibri" w:eastAsia="Calibri" w:hAnsi="Calibri"/>
        </w:rPr>
        <w:t xml:space="preserve">Four views (two levels × list/print) that report which revaluation courses are eligible for second- or third-level re-evaluation. All four resolve the same revaluation_application_filter data, then keep only rows with an existing RevaluationNextLevelEvaluationEligibleFalseNumber record for the relevant level — the mark-percentage-based eligibility computation (sec_eligibility_check/third_eligibility_check, see above) is present only as commented-out code in all four.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800"/>
      </w:tblGrid>
      <w:tr>
        <w:trPr>
          <w:tblHeader/>
        </w:trPr>
        <w:tc>
          <w:tcPr>
            <w:tcW w:type="dxa" w:w="2800"/>
            <w:shd w:fill="2F5496" w:val="clear"/>
          </w:tcPr>
          <w:p>
            <w:r>
              <w:rPr>
                <w:rFonts w:ascii="Calibri" w:cs="Calibri" w:eastAsia="Calibri" w:hAnsi="Calibri"/>
                <w:b/>
                <w:bCs/>
                <w:color w:val="FFFFFF"/>
                <w:sz w:val="20"/>
                <w:szCs w:val="20"/>
              </w:rPr>
              <w:t xml:space="preserve">View</w:t>
            </w:r>
          </w:p>
        </w:tc>
        <w:tc>
          <w:tcPr>
            <w:tcW w:type="dxa" w:w="3600"/>
            <w:shd w:fill="2F5496" w:val="clear"/>
          </w:tcPr>
          <w:p>
            <w:r>
              <w:rPr>
                <w:rFonts w:ascii="Calibri" w:cs="Calibri" w:eastAsia="Calibri" w:hAnsi="Calibri"/>
                <w:b/>
                <w:bCs/>
                <w:color w:val="FFFFFF"/>
                <w:sz w:val="20"/>
                <w:szCs w:val="20"/>
              </w:rPr>
              <w:t xml:space="preserve">Method &amp; input</w:t>
            </w:r>
          </w:p>
        </w:tc>
        <w:tc>
          <w:tcPr>
            <w:tcW w:type="dxa" w:w="2800"/>
            <w:shd w:fill="2F5496" w:val="clear"/>
          </w:tcPr>
          <w:p>
            <w:r>
              <w:rPr>
                <w:rFonts w:ascii="Calibri" w:cs="Calibri" w:eastAsia="Calibri" w:hAnsi="Calibri"/>
                <w:b/>
                <w:bCs/>
                <w:color w:val="FFFFFF"/>
                <w:sz w:val="20"/>
                <w:szCs w:val="20"/>
              </w:rPr>
              <w:t xml:space="preserve">Response</w:t>
            </w:r>
          </w:p>
        </w:tc>
      </w:tr>
      <w:tr>
        <w:tc>
          <w:tcPr>
            <w:tcW w:type="dxa" w:w="2800"/>
          </w:tcPr>
          <w:p>
            <w:r>
              <w:rPr>
                <w:rFonts w:ascii="Calibri" w:cs="Calibri" w:eastAsia="Calibri" w:hAnsi="Calibri"/>
                <w:sz w:val="20"/>
                <w:szCs w:val="20"/>
              </w:rPr>
              <w:t xml:space="preserve">RevaluationSecondLevelEligibleList</w:t>
            </w:r>
          </w:p>
        </w:tc>
        <w:tc>
          <w:tcPr>
            <w:tcW w:type="dxa" w:w="3600"/>
          </w:tcPr>
          <w:p>
            <w:r>
              <w:rPr>
                <w:rFonts w:ascii="Calibri" w:cs="Calibri" w:eastAsia="Calibri" w:hAnsi="Calibri"/>
                <w:sz w:val="20"/>
                <w:szCs w:val="20"/>
              </w:rPr>
              <w:t xml:space="preserve">GET (pgm_types) / POST {camp_schedule_id, examid, course, programme_id, semester_id}</w:t>
            </w:r>
          </w:p>
        </w:tc>
        <w:tc>
          <w:tcPr>
            <w:tcW w:type="dxa" w:w="2800"/>
          </w:tcPr>
          <w:p>
            <w:r>
              <w:rPr>
                <w:rFonts w:ascii="Calibri" w:cs="Calibri" w:eastAsia="Calibri" w:hAnsi="Calibri"/>
                <w:sz w:val="20"/>
                <w:szCs w:val="20"/>
              </w:rPr>
              <w:t xml:space="preserve">scrutiny_applications, filtered to SECOND_LEVEL-eligible false numbers</w:t>
            </w:r>
          </w:p>
        </w:tc>
      </w:tr>
      <w:tr>
        <w:tc>
          <w:tcPr>
            <w:tcW w:type="dxa" w:w="2800"/>
          </w:tcPr>
          <w:p>
            <w:r>
              <w:rPr>
                <w:rFonts w:ascii="Calibri" w:cs="Calibri" w:eastAsia="Calibri" w:hAnsi="Calibri"/>
                <w:sz w:val="20"/>
                <w:szCs w:val="20"/>
              </w:rPr>
              <w:t xml:space="preserve">RevaluationSecondLevelEligibleListPrint</w:t>
            </w:r>
          </w:p>
        </w:tc>
        <w:tc>
          <w:tcPr>
            <w:tcW w:type="dxa" w:w="3600"/>
          </w:tcPr>
          <w:p>
            <w:r>
              <w:rPr>
                <w:rFonts w:ascii="Calibri" w:cs="Calibri" w:eastAsia="Calibri" w:hAnsi="Calibri"/>
                <w:sz w:val="20"/>
                <w:szCs w:val="20"/>
              </w:rPr>
              <w:t xml:space="preserve">POST — same plus print display fields</w:t>
            </w:r>
          </w:p>
        </w:tc>
        <w:tc>
          <w:tcPr>
            <w:tcW w:type="dxa" w:w="2800"/>
          </w:tcPr>
          <w:p>
            <w:r>
              <w:rPr>
                <w:rFonts w:ascii="Calibri" w:cs="Calibri" w:eastAsia="Calibri" w:hAnsi="Calibri"/>
                <w:sz w:val="20"/>
                <w:szCs w:val="20"/>
              </w:rPr>
              <w:t xml:space="preserve">Same, with qp_code/digitalfalseno/camp_name added</w:t>
            </w:r>
          </w:p>
        </w:tc>
      </w:tr>
      <w:tr>
        <w:tc>
          <w:tcPr>
            <w:tcW w:type="dxa" w:w="2800"/>
          </w:tcPr>
          <w:p>
            <w:r>
              <w:rPr>
                <w:rFonts w:ascii="Calibri" w:cs="Calibri" w:eastAsia="Calibri" w:hAnsi="Calibri"/>
                <w:sz w:val="20"/>
                <w:szCs w:val="20"/>
              </w:rPr>
              <w:t xml:space="preserve">RevaluationThirdLevelEligibleList</w:t>
            </w:r>
          </w:p>
        </w:tc>
        <w:tc>
          <w:tcPr>
            <w:tcW w:type="dxa" w:w="3600"/>
          </w:tcPr>
          <w:p>
            <w:r>
              <w:rPr>
                <w:rFonts w:ascii="Calibri" w:cs="Calibri" w:eastAsia="Calibri" w:hAnsi="Calibri"/>
                <w:sz w:val="20"/>
                <w:szCs w:val="20"/>
              </w:rPr>
              <w:t xml:space="preserve">GET (pgm_types) / POST — same shape</w:t>
            </w:r>
          </w:p>
        </w:tc>
        <w:tc>
          <w:tcPr>
            <w:tcW w:type="dxa" w:w="2800"/>
          </w:tcPr>
          <w:p>
            <w:r>
              <w:rPr>
                <w:rFonts w:ascii="Calibri" w:cs="Calibri" w:eastAsia="Calibri" w:hAnsi="Calibri"/>
                <w:sz w:val="20"/>
                <w:szCs w:val="20"/>
              </w:rPr>
              <w:t xml:space="preserve">scrutiny_applications, filtered to THIRD_LEVEL-eligible false numbers</w:t>
            </w:r>
          </w:p>
        </w:tc>
      </w:tr>
      <w:tr>
        <w:tc>
          <w:tcPr>
            <w:tcW w:type="dxa" w:w="2800"/>
          </w:tcPr>
          <w:p>
            <w:r>
              <w:rPr>
                <w:rFonts w:ascii="Calibri" w:cs="Calibri" w:eastAsia="Calibri" w:hAnsi="Calibri"/>
                <w:sz w:val="20"/>
                <w:szCs w:val="20"/>
              </w:rPr>
              <w:t xml:space="preserve">RevaluationThirdLevelEligibleListPrint</w:t>
            </w:r>
          </w:p>
        </w:tc>
        <w:tc>
          <w:tcPr>
            <w:tcW w:type="dxa" w:w="3600"/>
          </w:tcPr>
          <w:p>
            <w:r>
              <w:rPr>
                <w:rFonts w:ascii="Calibri" w:cs="Calibri" w:eastAsia="Calibri" w:hAnsi="Calibri"/>
                <w:sz w:val="20"/>
                <w:szCs w:val="20"/>
              </w:rPr>
              <w:t xml:space="preserve">POST — same plus print display fields</w:t>
            </w:r>
          </w:p>
        </w:tc>
        <w:tc>
          <w:tcPr>
            <w:tcW w:type="dxa" w:w="2800"/>
          </w:tcPr>
          <w:p>
            <w:r>
              <w:rPr>
                <w:rFonts w:ascii="Calibri" w:cs="Calibri" w:eastAsia="Calibri" w:hAnsi="Calibri"/>
                <w:sz w:val="20"/>
                <w:szCs w:val="20"/>
              </w:rPr>
              <w:t xml:space="preserve">Same, with qp_code/digitalfalseno/camp_name added</w:t>
            </w:r>
          </w:p>
        </w:tc>
      </w:tr>
    </w:tbl>
    <w:p>
      <w:pPr>
        <w:pStyle w:val="Heading1"/>
        <w:spacing w:after="120" w:before="240"/>
      </w:pPr>
      <w:r>
        <w:t xml:space="preserve">Group C — Status Report</w:t>
      </w:r>
    </w:p>
    <w:p>
      <w:pPr>
        <w:pStyle w:val="Heading2"/>
        <w:spacing w:after="120" w:before="240"/>
      </w:pPr>
      <w:r>
        <w:t xml:space="preserve">RevaluationStatusReport</w:t>
      </w:r>
    </w:p>
    <w:p>
      <w:pPr>
        <w:spacing w:after="120"/>
      </w:pPr>
      <w:r>
        <w:rPr>
          <w:rFonts w:ascii="Calibri" w:cs="Calibri" w:eastAsia="Calibri" w:hAnsi="Calibri"/>
        </w:rPr>
        <w:t xml:space="preserve">GET returns programme types scoped to the caller's subsections. POST returns a per-candidate mark comparison (original, level 1/2/3, final) across every course in a camp/exam/programme/semester selection, optionally restricted to applications whose whole result is publishable (result_pub='true', via rev_rslt_publishable).</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camp_schedule_id, examid, course, programme_id, semester_id</w:t>
            </w:r>
          </w:p>
        </w:tc>
        <w:tc>
          <w:tcPr>
            <w:tcW w:type="dxa" w:w="4200"/>
          </w:tcPr>
          <w:p>
            <w:r>
              <w:rPr>
                <w:rFonts w:ascii="Calibri" w:cs="Calibri" w:eastAsia="Calibri" w:hAnsi="Calibri"/>
                <w:sz w:val="20"/>
                <w:szCs w:val="20"/>
              </w:rPr>
              <w:t xml:space="preserve">Yes</w:t>
            </w:r>
          </w:p>
        </w:tc>
      </w:tr>
      <w:tr>
        <w:tc>
          <w:tcPr>
            <w:tcW w:type="dxa" w:w="3200"/>
          </w:tcPr>
          <w:p>
            <w:r>
              <w:rPr>
                <w:rFonts w:ascii="Calibri" w:cs="Calibri" w:eastAsia="Calibri" w:hAnsi="Calibri"/>
                <w:sz w:val="20"/>
                <w:szCs w:val="20"/>
              </w:rPr>
              <w:t xml:space="preserve">result_pub</w:t>
            </w:r>
          </w:p>
        </w:tc>
        <w:tc>
          <w:tcPr>
            <w:tcW w:type="dxa" w:w="4200"/>
          </w:tcPr>
          <w:p>
            <w:r>
              <w:rPr>
                <w:rFonts w:ascii="Calibri" w:cs="Calibri" w:eastAsia="Calibri" w:hAnsi="Calibri"/>
                <w:sz w:val="20"/>
                <w:szCs w:val="20"/>
              </w:rPr>
              <w:t xml:space="preserve">Optional — 'true' to filter to fully-completed applications only</w:t>
            </w:r>
          </w:p>
        </w:tc>
      </w:tr>
    </w:tbl>
    <w:p>
      <w:pPr>
        <w:spacing w:after="120"/>
      </w:pPr>
      <w:r>
        <w:rPr>
          <w:rFonts w:ascii="Calibri" w:cs="Calibri" w:eastAsia="Calibri" w:hAnsi="Calibri"/>
        </w:rPr>
        <w:t xml:space="preserve">Response: { revaluation_report: [...], courses } · status 200.</w:t>
      </w:r>
    </w:p>
    <w:p>
      <w:pPr>
        <w:pStyle w:val="Heading2"/>
        <w:spacing w:after="120" w:before="240"/>
      </w:pPr>
      <w:r>
        <w:t xml:space="preserve">RevaluationStatusReportPrint</w:t>
      </w:r>
    </w:p>
    <w:p>
      <w:pPr>
        <w:spacing w:after="120"/>
      </w:pPr>
      <w:r>
        <w:rPr>
          <w:rFonts w:ascii="Calibri" w:cs="Calibri" w:eastAsia="Calibri" w:hAnsi="Calibri"/>
        </w:rPr>
        <w:t xml:space="preserve">POST — the print layout for the same report, with the same result_pub filter and per-level bundle/sequence detail broken out from a differently-shaped serializer (initial_det/lvl1_det/lvl2_det/lvl3_det nested keys).</w:t>
      </w:r>
    </w:p>
    <w:p>
      <w:pPr>
        <w:spacing w:after="120"/>
      </w:pPr>
      <w:r>
        <w:rPr>
          <w:rFonts w:ascii="Calibri" w:cs="Calibri" w:eastAsia="Calibri" w:hAnsi="Calibri"/>
        </w:rPr>
        <w:t xml:space="preserve">Response: { reval_applications, ... display fields ..., course_index } · status 200.</w:t>
      </w:r>
    </w:p>
    <w:p>
      <w:pPr>
        <w:pStyle w:val="Heading1"/>
        <w:spacing w:after="120" w:before="240"/>
      </w:pPr>
      <w:r>
        <w:t xml:space="preserve">Group D — Combined Revaluation + Scrutiny List</w:t>
      </w:r>
    </w:p>
    <w:p>
      <w:pPr>
        <w:pStyle w:val="Heading2"/>
        <w:spacing w:after="120" w:before="240"/>
      </w:pPr>
      <w:r>
        <w:t xml:space="preserve">RevaluationScrutinyList</w:t>
      </w:r>
    </w:p>
    <w:p>
      <w:pPr>
        <w:spacing w:after="120"/>
      </w:pPr>
      <w:r>
        <w:rPr>
          <w:rFonts w:ascii="Calibri" w:cs="Calibri" w:eastAsia="Calibri" w:hAnsi="Calibri"/>
        </w:rPr>
        <w:t xml:space="preserve">GET returns programme types scoped to the caller's subsections. POST returns candidates who have applied for revaluation and/or scrutiny, filtered by a rev_type code that selects which combination to include.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6800"/>
      </w:tblGrid>
      <w:tr>
        <w:trPr>
          <w:tblHeader/>
        </w:trPr>
        <w:tc>
          <w:tcPr>
            <w:tcW w:type="dxa" w:w="2000"/>
            <w:shd w:fill="2F5496" w:val="clear"/>
          </w:tcPr>
          <w:p>
            <w:r>
              <w:rPr>
                <w:rFonts w:ascii="Calibri" w:cs="Calibri" w:eastAsia="Calibri" w:hAnsi="Calibri"/>
                <w:b/>
                <w:bCs/>
                <w:color w:val="FFFFFF"/>
                <w:sz w:val="20"/>
                <w:szCs w:val="20"/>
              </w:rPr>
              <w:t xml:space="preserve">rev_type value</w:t>
            </w:r>
          </w:p>
        </w:tc>
        <w:tc>
          <w:tcPr>
            <w:tcW w:type="dxa" w:w="6800"/>
            <w:shd w:fill="2F5496" w:val="clear"/>
          </w:tcPr>
          <w:p>
            <w:r>
              <w:rPr>
                <w:rFonts w:ascii="Calibri" w:cs="Calibri" w:eastAsia="Calibri" w:hAnsi="Calibri"/>
                <w:b/>
                <w:bCs/>
                <w:color w:val="FFFFFF"/>
                <w:sz w:val="20"/>
                <w:szCs w:val="20"/>
              </w:rPr>
              <w:t xml:space="preserve">Meaning</w:t>
            </w:r>
          </w:p>
        </w:tc>
      </w:tr>
      <w:tr>
        <w:tc>
          <w:tcPr>
            <w:tcW w:type="dxa" w:w="2000"/>
          </w:tcPr>
          <w:p>
            <w:r>
              <w:rPr>
                <w:rFonts w:ascii="Calibri" w:cs="Calibri" w:eastAsia="Calibri" w:hAnsi="Calibri"/>
                <w:sz w:val="20"/>
                <w:szCs w:val="20"/>
              </w:rPr>
              <w:t xml:space="preserve">1</w:t>
            </w:r>
          </w:p>
        </w:tc>
        <w:tc>
          <w:tcPr>
            <w:tcW w:type="dxa" w:w="6800"/>
          </w:tcPr>
          <w:p>
            <w:r>
              <w:rPr>
                <w:rFonts w:ascii="Calibri" w:cs="Calibri" w:eastAsia="Calibri" w:hAnsi="Calibri"/>
                <w:sz w:val="20"/>
                <w:szCs w:val="20"/>
              </w:rPr>
              <w:t xml:space="preserve">All applications (revaluation + scrutiny)</w:t>
            </w:r>
          </w:p>
        </w:tc>
      </w:tr>
      <w:tr>
        <w:tc>
          <w:tcPr>
            <w:tcW w:type="dxa" w:w="2000"/>
          </w:tcPr>
          <w:p>
            <w:r>
              <w:rPr>
                <w:rFonts w:ascii="Calibri" w:cs="Calibri" w:eastAsia="Calibri" w:hAnsi="Calibri"/>
                <w:sz w:val="20"/>
                <w:szCs w:val="20"/>
              </w:rPr>
              <w:t xml:space="preserve">2 or 3</w:t>
            </w:r>
          </w:p>
        </w:tc>
        <w:tc>
          <w:tcPr>
            <w:tcW w:type="dxa" w:w="6800"/>
          </w:tcPr>
          <w:p>
            <w:r>
              <w:rPr>
                <w:rFonts w:ascii="Calibri" w:cs="Calibri" w:eastAsia="Calibri" w:hAnsi="Calibri"/>
                <w:sz w:val="20"/>
                <w:szCs w:val="20"/>
              </w:rPr>
              <w:t xml:space="preserve">Revaluation only in the base query; "3" further restricts the result to candidates who did NOT also apply for scrutiny</w:t>
            </w:r>
          </w:p>
        </w:tc>
      </w:tr>
      <w:tr>
        <w:tc>
          <w:tcPr>
            <w:tcW w:type="dxa" w:w="2000"/>
          </w:tcPr>
          <w:p>
            <w:r>
              <w:rPr>
                <w:rFonts w:ascii="Calibri" w:cs="Calibri" w:eastAsia="Calibri" w:hAnsi="Calibri"/>
                <w:sz w:val="20"/>
                <w:szCs w:val="20"/>
              </w:rPr>
              <w:t xml:space="preserve">4, 5, or 6</w:t>
            </w:r>
          </w:p>
        </w:tc>
        <w:tc>
          <w:tcPr>
            <w:tcW w:type="dxa" w:w="6800"/>
          </w:tcPr>
          <w:p>
            <w:r>
              <w:rPr>
                <w:rFonts w:ascii="Calibri" w:cs="Calibri" w:eastAsia="Calibri" w:hAnsi="Calibri"/>
                <w:sz w:val="20"/>
                <w:szCs w:val="20"/>
              </w:rPr>
              <w:t xml:space="preserve">Scrutiny only in the base query; "5" restricts to candidates who did NOT also apply for revaluation; "6" restricts to candidates who applied for BOTH</w:t>
            </w:r>
          </w:p>
        </w:tc>
      </w:tr>
    </w:tbl>
    <w:p>
      <w:pPr>
        <w:spacing w:after="100"/>
      </w:pPr>
    </w:p>
    <w:p>
      <w:pPr>
        <w:spacing w:after="120"/>
      </w:pPr>
      <w:r>
        <w:rPr>
          <w:rFonts w:ascii="Calibri" w:cs="Calibri" w:eastAsia="Calibri" w:hAnsi="Calibri"/>
        </w:rPr>
        <w:t xml:space="preserve">Response: { scrutiny_applications: [...] } · status 200.</w:t>
      </w:r>
    </w:p>
    <w:p>
      <w:pPr>
        <w:pBdr>
          <w:left w:val="single" w:color="C00000" w:sz="12"/>
        </w:pBdr>
        <w:shd w:fill="FDE7E7" w:val="clear"/>
        <w:spacing w:after="200" w:before="80"/>
        <w:ind w:left="120"/>
      </w:pPr>
      <w:r>
        <w:rPr>
          <w:rFonts w:ascii="Calibri" w:cs="Calibri" w:eastAsia="Calibri" w:hAnsi="Calibri"/>
          <w:i/>
          <w:iCs/>
          <w:sz w:val="20"/>
          <w:szCs w:val="20"/>
        </w:rPr>
        <w:t xml:space="preserve">Unlike its own Print counterpart below, this view does NOT apply the `rev["course_id"] in coursecodelist and rev["camp_id"] in camplist` course/camp filter to its results before the rev_type filtering — meaning the on-screen list can include rows the print version would exclude for the same request parameters. Worth confirming this asymmetry between the screen and print views is intentional.</w:t>
      </w:r>
    </w:p>
    <w:p>
      <w:pPr>
        <w:pStyle w:val="Heading2"/>
        <w:spacing w:after="120" w:before="240"/>
      </w:pPr>
      <w:r>
        <w:t xml:space="preserve">RevaluationScrutinyListPrint</w:t>
      </w:r>
    </w:p>
    <w:p>
      <w:pPr>
        <w:spacing w:after="120"/>
      </w:pPr>
      <w:r>
        <w:rPr>
          <w:rFonts w:ascii="Calibri" w:cs="Calibri" w:eastAsia="Calibri" w:hAnsi="Calibri"/>
        </w:rPr>
        <w:t xml:space="preserve">POST — the print layout for the same combined list, with the course/camp filter applied and an r_type display label ("R", "S", or "R &amp; S") added per row.</w:t>
      </w:r>
    </w:p>
    <w:p>
      <w:pPr>
        <w:pBdr>
          <w:left w:val="single" w:color="E8B923" w:sz="12"/>
        </w:pBdr>
        <w:shd w:fill="FFF6DA" w:val="clear"/>
        <w:spacing w:after="200" w:before="80"/>
        <w:ind w:left="120"/>
      </w:pPr>
      <w:r>
        <w:rPr>
          <w:rFonts w:ascii="Calibri" w:cs="Calibri" w:eastAsia="Calibri" w:hAnsi="Calibri"/>
          <w:i/>
          <w:iCs/>
          <w:sz w:val="20"/>
          <w:szCs w:val="20"/>
        </w:rPr>
        <w:t xml:space="preserve">The response dict includes "test_data": "This is the item" — an apparent leftover debug/placeholder key shipped in the production response payload.</w:t>
      </w:r>
    </w:p>
    <w:p>
      <w:pPr>
        <w:pStyle w:val="Heading1"/>
        <w:spacing w:after="120" w:before="240"/>
      </w:pPr>
      <w:r>
        <w:t xml:space="preserve">Group E — Memo Generation &amp; Printing</w:t>
      </w:r>
    </w:p>
    <w:p>
      <w:pPr>
        <w:pStyle w:val="Heading2"/>
        <w:spacing w:after="120" w:before="240"/>
      </w:pPr>
      <w:r>
        <w:t xml:space="preserve">RevalMemoDetails</w:t>
      </w:r>
    </w:p>
    <w:p>
      <w:pPr>
        <w:spacing w:after="120"/>
      </w:pPr>
      <w:r>
        <w:rPr>
          <w:rFonts w:ascii="Calibri" w:cs="Calibri" w:eastAsia="Calibri" w:hAnsi="Calibri"/>
        </w:rPr>
        <w:t xml:space="preserve">POST — returns the print-preview data for a revaluation memo, including a computed mark_status string describing how the mark changed, factoring in an existing scrutiny mark if one exists and is higher than both the original and revaluation marks.</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rev_crs_id, programme_id</w:t>
            </w:r>
          </w:p>
        </w:tc>
        <w:tc>
          <w:tcPr>
            <w:tcW w:type="dxa" w:w="3200"/>
          </w:tcPr>
          <w:p>
            <w:r>
              <w:rPr>
                <w:rFonts w:ascii="Calibri" w:cs="Calibri" w:eastAsia="Calibri" w:hAnsi="Calibri"/>
                <w:sz w:val="20"/>
                <w:szCs w:val="20"/>
              </w:rPr>
              <w:t xml:space="preserve">Yes</w:t>
            </w:r>
          </w:p>
        </w:tc>
      </w:tr>
    </w:tbl>
    <w:p>
      <w:pPr>
        <w:pBdr>
          <w:left w:val="single" w:color="E8B923" w:sz="12"/>
        </w:pBdr>
        <w:shd w:fill="FFF6DA" w:val="clear"/>
        <w:spacing w:after="200" w:before="80"/>
        <w:ind w:left="120"/>
      </w:pPr>
      <w:r>
        <w:rPr>
          <w:rFonts w:ascii="Calibri" w:cs="Calibri" w:eastAsia="Calibri" w:hAnsi="Calibri"/>
          <w:i/>
          <w:iCs/>
          <w:sz w:val="20"/>
          <w:szCs w:val="20"/>
        </w:rPr>
        <w:t xml:space="preserve">The mark-comparison logic here (checking whether a scrutiny mark should override the "from" or "to" value shown) is fairly intricate business logic embedded directly in the view — worth extracting to a named, testable function given how easy it would be to get the multi-way comparison subtly wrong during a future edit.</w:t>
      </w:r>
    </w:p>
    <w:p>
      <w:pPr>
        <w:pStyle w:val="Heading2"/>
        <w:spacing w:after="120" w:before="240"/>
      </w:pPr>
      <w:r>
        <w:t xml:space="preserve">RevaluationSendMemo</w:t>
      </w:r>
    </w:p>
    <w:p>
      <w:pPr>
        <w:spacing w:after="120"/>
      </w:pPr>
      <w:r>
        <w:rPr>
          <w:rFonts w:ascii="Calibri" w:cs="Calibri" w:eastAsia="Calibri" w:hAnsi="Calibri"/>
        </w:rPr>
        <w:t xml:space="preserve">POST — the main "publish result and send memo" action for revaluation: for every course in the application, once all of them have reached COMPLETED_STATE, emails each student a status memo and (once per request, not per course) re-runs moderation/result-generation via raw stored-procedure calls.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rev_course_id, memo_date, exam, c_code, c_name, section_id</w:t>
            </w:r>
          </w:p>
        </w:tc>
        <w:tc>
          <w:tcPr>
            <w:tcW w:type="dxa" w:w="4200"/>
          </w:tcPr>
          <w:p>
            <w:r>
              <w:rPr>
                <w:rFonts w:ascii="Calibri" w:cs="Calibri" w:eastAsia="Calibri" w:hAnsi="Calibri"/>
                <w:sz w:val="20"/>
                <w:szCs w:val="20"/>
              </w:rPr>
              <w:t xml:space="preserve">Yes</w:t>
            </w:r>
          </w:p>
        </w:tc>
      </w:tr>
    </w:tbl>
    <w:p>
      <w:pPr>
        <w:spacing w:after="120"/>
      </w:pPr>
      <w:r>
        <w:rPr>
          <w:rFonts w:ascii="Calibri" w:cs="Calibri" w:eastAsia="Calibri" w:hAnsi="Calibri"/>
        </w:rPr>
        <w:t xml:space="preserve">Catches psycopg2.Error specifically to give a clearer "can't generate result twice" message on a duplicate-key violation — a more specific error path than most sibling views in this codebase provide.</w:t>
      </w:r>
    </w:p>
    <w:p>
      <w:pPr>
        <w:pBdr>
          <w:left w:val="single" w:color="E8B923" w:sz="12"/>
        </w:pBdr>
        <w:shd w:fill="FFF6DA" w:val="clear"/>
        <w:spacing w:after="200" w:before="80"/>
        <w:ind w:left="120"/>
      </w:pPr>
      <w:r>
        <w:rPr>
          <w:rFonts w:ascii="Calibri" w:cs="Calibri" w:eastAsia="Calibri" w:hAnsi="Calibri"/>
          <w:i/>
          <w:iCs/>
          <w:sz w:val="20"/>
          <w:szCs w:val="20"/>
        </w:rPr>
        <w:t xml:space="preserve">The programme-id allowlist that would restrict which programmes can publish results this way is commented out with a note "Commented due to revaluation issue on 4/2/25" — so this endpoint currently allows result publication for any programme. Compare with RevaluationResultRegenerateWithoutMemoGeneration below, which still enforces its own (differently-scoped) allowlist — the two closely related "regenerate result" endpoints are currently inconsistent in whether this gate is active.</w:t>
      </w:r>
    </w:p>
    <w:p>
      <w:pPr>
        <w:spacing w:after="120"/>
      </w:pPr>
      <w:r>
        <w:rPr>
          <w:rFonts w:ascii="Calibri" w:cs="Calibri" w:eastAsia="Calibri" w:hAnsi="Calibri"/>
          <w:i/>
          <w:iCs/>
        </w:rPr>
        <w:t xml:space="preserve">str_to_date1 = datetime.datetime.strptime(start_date, ...) is recomputed on every iteration of the per-course loop even though start_date is constant across the request — a minor inefficiency, not a bug.</w:t>
      </w:r>
    </w:p>
    <w:p>
      <w:pPr>
        <w:pStyle w:val="Heading2"/>
        <w:spacing w:after="120" w:before="240"/>
      </w:pPr>
      <w:r>
        <w:t xml:space="preserve">RevaluationMemoView</w:t>
      </w:r>
    </w:p>
    <w:p>
      <w:pPr>
        <w:spacing w:after="120"/>
      </w:pPr>
      <w:r>
        <w:rPr>
          <w:rFonts w:ascii="Calibri" w:cs="Calibri" w:eastAsia="Calibri" w:hAnsi="Calibri"/>
        </w:rPr>
        <w:t xml:space="preserve">POST — returns the print-ready memo (QR-encoded memo id, formatted dates, mark-status text) for a single course, sourced from an existing MemoGenerationStatus record.</w:t>
      </w:r>
    </w:p>
    <w:p>
      <w:pPr>
        <w:pBdr>
          <w:left w:val="single" w:color="C00000" w:sz="12"/>
        </w:pBdr>
        <w:shd w:fill="FDE7E7" w:val="clear"/>
        <w:spacing w:after="200" w:before="80"/>
        <w:ind w:left="120"/>
      </w:pPr>
      <w:r>
        <w:rPr>
          <w:rFonts w:ascii="Calibri" w:cs="Calibri" w:eastAsia="Calibri" w:hAnsi="Calibri"/>
          <w:i/>
          <w:iCs/>
          <w:sz w:val="20"/>
          <w:szCs w:val="20"/>
        </w:rPr>
        <w:t xml:space="preserve">mem_sts_obj = MemoGenerationStatus.objects.filter(...).first() is dereferenced (.id, .memo_template.id) with no None-check — if the initial memo was never sent for this course, this raises AttributeError.</w:t>
      </w:r>
    </w:p>
    <w:p>
      <w:pPr>
        <w:pStyle w:val="Heading2"/>
        <w:spacing w:after="120" w:before="240"/>
      </w:pPr>
      <w:r>
        <w:t xml:space="preserve">RevaluationSendMultipleMemo</w:t>
      </w:r>
    </w:p>
    <w:p>
      <w:pPr>
        <w:spacing w:after="120"/>
      </w:pPr>
      <w:r>
        <w:rPr>
          <w:rFonts w:ascii="Calibri" w:cs="Calibri" w:eastAsia="Calibri" w:hAnsi="Calibri"/>
        </w:rPr>
        <w:t xml:space="preserve">POST — bulk version of the memo-send action for a comma-separated list of RevaluationCourse ids, using a simplified "changed"/"not changed" mark status (no from/to values, unlike the single-item versions above).</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programme_id, reval</w:t>
            </w:r>
          </w:p>
        </w:tc>
        <w:tc>
          <w:tcPr>
            <w:tcW w:type="dxa" w:w="4200"/>
          </w:tcPr>
          <w:p>
            <w:r>
              <w:rPr>
                <w:rFonts w:ascii="Calibri" w:cs="Calibri" w:eastAsia="Calibri" w:hAnsi="Calibri"/>
                <w:sz w:val="20"/>
                <w:szCs w:val="20"/>
              </w:rPr>
              <w:t xml:space="preserve">Yes — reval is a comma-separated list of RevaluationCourse ids</w:t>
            </w:r>
          </w:p>
        </w:tc>
      </w:tr>
    </w:tbl>
    <w:p>
      <w:pPr>
        <w:pBdr>
          <w:left w:val="single" w:color="C00000" w:sz="12"/>
        </w:pBdr>
        <w:shd w:fill="FDE7E7" w:val="clear"/>
        <w:spacing w:after="200" w:before="80"/>
        <w:ind w:left="120"/>
      </w:pPr>
      <w:r>
        <w:rPr>
          <w:rFonts w:ascii="Calibri" w:cs="Calibri" w:eastAsia="Calibri" w:hAnsi="Calibri"/>
          <w:i/>
          <w:iCs/>
          <w:sz w:val="20"/>
          <w:szCs w:val="20"/>
        </w:rPr>
        <w:t xml:space="preserve">The final `return format_response(..., data=data, ...)` uses the `data` dict left over from the LAST iteration of the per-course loop (the email payload for whichever course happened to be processed last) — not a summary of the whole batch. The response's data field is essentially the last email's to_email/email_body/email_subject, which is unlikely to be useful information for the caller and doesn't reflect the batch operation that was actually requested.</w:t>
      </w:r>
    </w:p>
    <w:p>
      <w:pPr>
        <w:pStyle w:val="Heading1"/>
        <w:spacing w:after="120" w:before="240"/>
      </w:pPr>
      <w:r>
        <w:t xml:space="preserve">Group F — Student Result Modal (the largest single view in this codebase)</w:t>
      </w:r>
    </w:p>
    <w:p>
      <w:pPr>
        <w:pStyle w:val="Heading2"/>
        <w:spacing w:after="120" w:before="240"/>
      </w:pPr>
      <w:r>
        <w:t xml:space="preserve">StudentResultModalView</w:t>
      </w:r>
    </w:p>
    <w:p>
      <w:pPr>
        <w:spacing w:after="120"/>
      </w:pPr>
      <w:r>
        <w:rPr>
          <w:rFonts w:ascii="Calibri" w:cs="Calibri" w:eastAsia="Calibri" w:hAnsi="Calibri"/>
        </w:rPr>
        <w:t xml:space="preserve">POST — over 700 lines in a single method (roughly a quarter of this entire file). Builds a complete student result view for one exam: calls an external marklist API for internal-mark reference data, then independently computes internal marks, PLVF/external marks (factoring in revaluation marks, moderation, and grace marks where applicable), SGPA/grade data, and returns it all combined for the result-view screen.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exam_value, usr_id, semester</w:t>
            </w:r>
          </w:p>
        </w:tc>
        <w:tc>
          <w:tcPr>
            <w:tcW w:type="dxa" w:w="4200"/>
          </w:tcPr>
          <w:p>
            <w:r>
              <w:rPr>
                <w:rFonts w:ascii="Calibri" w:cs="Calibri" w:eastAsia="Calibri" w:hAnsi="Calibri"/>
                <w:sz w:val="20"/>
                <w:szCs w:val="20"/>
              </w:rPr>
              <w:t xml:space="preserve">Yes</w:t>
            </w:r>
          </w:p>
        </w:tc>
      </w:tr>
    </w:tbl>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This method calls an external HTTP API — other_api_url = 'http://10.20.20.105/certificates/single-student-details-marklist/' + str(user) — with two alternative hardcoded IPs/hostnames left commented out directly above it (10.20.20.142 and erp:8000), plus a bearer token hardcoded directly in the source: api_key = 'a205ce2c1554fb6f3d905805c99c8078d41d5a01'. The request is also made with verify=False, disabling TLS certificate verification. Beyond the credential-management concern of a live-looking API token committed to source, the choice between the three commented-out URLs suggests this endpoint's target address has changed between environments before and may need to change again — worth moving this to a settings/environment variable rather than a hardcoded literal with alternates kept as comments.</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The call to that external API is wrapped in its own inner try/except that logs and swallows any failure WITHOUT returning or re-raising — execution continues into the remaining 600+ lines of the method regardless. api_resp_data is only assigned inside that inner try block (api_resp_data = api_resp['data']). Roughly 650 lines later, the method does `finalmarkdata_new = api_resp_data['data'][0]['internalData']` unconditionally. If the external call fails for ANY reason — network issue, non-2xx response, unexpected JSON shape — api_resp_data is never assigned, and this line raises NameError, discarding all of the (potentially expensive, correctly-computed) internal/external/grade mark data assembled in between. This is the same 'conditionally-assigned variable referenced unconditionally later' pattern seen throughout this codebase, but here it spans the largest gap by far and depends on a hardcoded external HTTP call succeeding.</w:t>
      </w:r>
    </w:p>
    <w:p>
      <w:pPr>
        <w:spacing w:after="120"/>
      </w:pPr>
      <w:r>
        <w:rPr>
          <w:rFonts w:ascii="Calibri" w:cs="Calibri" w:eastAsia="Calibri" w:hAnsi="Calibri"/>
        </w:rPr>
        <w:t xml:space="preserve">Processing flow (abridged):</w:t>
      </w:r>
    </w:p>
    <w:p>
      <w:pPr>
        <w:pStyle w:val="ListParagraph"/>
        <w:numPr>
          <w:ilvl w:val="0"/>
          <w:numId w:val="2"/>
        </w:numPr>
        <w:spacing w:after="80"/>
      </w:pPr>
      <w:r>
        <w:rPr>
          <w:rFonts w:ascii="Calibri" w:cs="Calibri" w:eastAsia="Calibri" w:hAnsi="Calibri"/>
        </w:rPr>
        <w:t xml:space="preserve">Resolves the student, their exam registration, and programme metadata; calls the external marklist API described above.</w:t>
      </w:r>
    </w:p>
    <w:p>
      <w:pPr>
        <w:pStyle w:val="ListParagraph"/>
        <w:numPr>
          <w:ilvl w:val="0"/>
          <w:numId w:val="2"/>
        </w:numPr>
        <w:spacing w:after="80"/>
      </w:pPr>
      <w:r>
        <w:rPr>
          <w:rFonts w:ascii="Calibri" w:cs="Calibri" w:eastAsia="Calibri" w:hAnsi="Calibri"/>
        </w:rPr>
        <w:t xml:space="preserve">Determines whether the student has any 'special' (exam_type_id 3) exam registration courses, which narrows which internal marks are fetched.</w:t>
      </w:r>
    </w:p>
    <w:p>
      <w:pPr>
        <w:pStyle w:val="ListParagraph"/>
        <w:numPr>
          <w:ilvl w:val="0"/>
          <w:numId w:val="2"/>
        </w:numPr>
        <w:spacing w:after="80"/>
      </w:pPr>
      <w:r>
        <w:rPr>
          <w:rFonts w:ascii="Calibri" w:cs="Calibri" w:eastAsia="Calibri" w:hAnsi="Calibri"/>
        </w:rPr>
        <w:t xml:space="preserve">Builds internalmark_list / internalmark_list2 by decrypting each StudentSemesterCourseInternalMark, merging rows that share a course code by summing their marks (for courses split across sub-courses).</w:t>
      </w:r>
    </w:p>
    <w:p>
      <w:pPr>
        <w:pStyle w:val="ListParagraph"/>
        <w:numPr>
          <w:ilvl w:val="0"/>
          <w:numId w:val="2"/>
        </w:numPr>
        <w:spacing w:after="80"/>
      </w:pPr>
      <w:r>
        <w:rPr>
          <w:rFonts w:ascii="Calibri" w:cs="Calibri" w:eastAsia="Calibri" w:hAnsi="Calibri"/>
        </w:rPr>
        <w:t xml:space="preserve">Builds externalmark_list from PLVFMarkEntry rows, factoring in decrypted grace marks per course, and marking a course 'Absent' if its ExamRegistrationCourseMapper status indicates so.</w:t>
      </w:r>
    </w:p>
    <w:p>
      <w:pPr>
        <w:pStyle w:val="ListParagraph"/>
        <w:numPr>
          <w:ilvl w:val="0"/>
          <w:numId w:val="2"/>
        </w:numPr>
        <w:spacing w:after="80"/>
      </w:pPr>
      <w:r>
        <w:rPr>
          <w:rFonts w:ascii="Calibri" w:cs="Calibri" w:eastAsia="Calibri" w:hAnsi="Calibri"/>
        </w:rPr>
        <w:t xml:space="preserve">For each FalseNumberMark: decrypts the ESA mark, but substitutes a RevaluationCourse's new_mark instead if a RESULT_GENERATED revaluation exists for that false number (i.e. revaluation marks take precedence over the original ESA mark once finalized) — then further layers in moderation and grace mark adjustments.</w:t>
      </w:r>
    </w:p>
    <w:p>
      <w:pPr>
        <w:pStyle w:val="ListParagraph"/>
        <w:numPr>
          <w:ilvl w:val="0"/>
          <w:numId w:val="2"/>
        </w:numPr>
        <w:spacing w:after="80"/>
      </w:pPr>
      <w:r>
        <w:rPr>
          <w:rFonts w:ascii="Calibri" w:cs="Calibri" w:eastAsia="Calibri" w:hAnsi="Calibri"/>
        </w:rPr>
        <w:t xml:space="preserve">Assembles SGPA/grade data and, at the very end, merges in the external API's internalData before returning everything.</w:t>
      </w:r>
    </w:p>
    <w:p>
      <w:pPr>
        <w:pBdr>
          <w:left w:val="single" w:color="E8B923" w:sz="12"/>
        </w:pBdr>
        <w:shd w:fill="FFF6DA" w:val="clear"/>
        <w:spacing w:after="200" w:before="80"/>
        <w:ind w:left="120"/>
      </w:pPr>
      <w:r>
        <w:rPr>
          <w:rFonts w:ascii="Calibri" w:cs="Calibri" w:eastAsia="Calibri" w:hAnsi="Calibri"/>
          <w:i/>
          <w:iCs/>
          <w:sz w:val="20"/>
          <w:szCs w:val="20"/>
        </w:rPr>
        <w:t xml:space="preserve">Roughly 30 lines of fully commented-out logic (an 'external only courses' merge step and a 'sub-course exists' consolidation step) sit both inline within the try block and, oddly, AFTER the method's own except block and return statement — the latter portion is unreachable regardless of whether it's commented out, since it sits outside the method's control flow entirely. This suggests an earlier version of the method that was progressively disabled rather than removed.</w:t>
      </w:r>
    </w:p>
    <w:p>
      <w:pPr>
        <w:pBdr>
          <w:left w:val="single" w:color="E8B923" w:sz="12"/>
        </w:pBdr>
        <w:shd w:fill="FFF6DA" w:val="clear"/>
        <w:spacing w:after="200" w:before="80"/>
        <w:ind w:left="120"/>
      </w:pPr>
      <w:r>
        <w:rPr>
          <w:rFonts w:ascii="Calibri" w:cs="Calibri" w:eastAsia="Calibri" w:hAnsi="Calibri"/>
          <w:i/>
          <w:iCs/>
          <w:sz w:val="20"/>
          <w:szCs w:val="20"/>
        </w:rPr>
        <w:t xml:space="preserve">This is functionally similar in scope to studenthistory.py's giant POST method and to the grade/CGPA computation duplicated across student_list.py's DCStudentListFetch — another large, independent implementation of "compute this student's final marks and grades," this time specifically for the revaluation-aware result view. Given how many independent copies of similar mark-aggregation logic now exist across this codebase, a shared, well-tested mark-computation service would meaningfully reduce the risk of the various copies disagreeing with each other over time.</w:t>
      </w:r>
    </w:p>
    <w:p>
      <w:pPr>
        <w:pStyle w:val="Heading1"/>
        <w:spacing w:after="120" w:before="240"/>
      </w:pPr>
      <w:r>
        <w:t xml:space="preserve">Group G — Result Regeneration Without Memo</w:t>
      </w:r>
    </w:p>
    <w:p>
      <w:pPr>
        <w:pStyle w:val="Heading2"/>
        <w:spacing w:after="120" w:before="240"/>
      </w:pPr>
      <w:r>
        <w:t xml:space="preserve">RevaluationResultRegenerateWithoutMemoGeneration</w:t>
      </w:r>
    </w:p>
    <w:p>
      <w:pPr>
        <w:spacing w:after="120"/>
      </w:pPr>
      <w:r>
        <w:rPr>
          <w:rFonts w:ascii="Calibri" w:cs="Calibri" w:eastAsia="Calibri" w:hAnsi="Calibri"/>
        </w:rPr>
        <w:t xml:space="preserve">POST — re-runs moderation and result generation for a revaluation course WITHOUT sending a memo, intended for courses that have already been reverted to inactive.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rev_course_id</w:t>
            </w:r>
          </w:p>
        </w:tc>
        <w:tc>
          <w:tcPr>
            <w:tcW w:type="dxa" w:w="3200"/>
          </w:tcPr>
          <w:p>
            <w:r>
              <w:rPr>
                <w:rFonts w:ascii="Calibri" w:cs="Calibri" w:eastAsia="Calibri" w:hAnsi="Calibri"/>
                <w:sz w:val="20"/>
                <w:szCs w:val="20"/>
              </w:rPr>
              <w:t xml:space="preserve">Yes</w:t>
            </w:r>
          </w:p>
        </w:tc>
      </w:tr>
    </w:tbl>
    <w:p>
      <w:pPr>
        <w:spacing w:after="120"/>
      </w:pPr>
      <w:r>
        <w:rPr>
          <w:rFonts w:ascii="Calibri" w:cs="Calibri" w:eastAsia="Calibri" w:hAnsi="Calibri"/>
        </w:rPr>
        <w:t xml:space="preserve">Requires every course in the application to be INACTIVE_STATE (not COMPLETED_STATE, as in RevaluationSendMemo) before proceeding — this is the "undo and redo" counterpart to the send-memo flow.</w:t>
      </w:r>
    </w:p>
    <w:p>
      <w:pPr>
        <w:pBdr>
          <w:left w:val="single" w:color="C00000" w:sz="12"/>
        </w:pBdr>
        <w:shd w:fill="FDE7E7" w:val="clear"/>
        <w:spacing w:after="200" w:before="80"/>
        <w:ind w:left="120"/>
      </w:pPr>
      <w:r>
        <w:rPr>
          <w:rFonts w:ascii="Calibri" w:cs="Calibri" w:eastAsia="Calibri" w:hAnsi="Calibri"/>
          <w:i/>
          <w:iCs/>
          <w:sz w:val="20"/>
          <w:szCs w:val="20"/>
        </w:rPr>
        <w:t xml:space="preserve">Still enforces a hardcoded allowlist of programme ids (`if programme_id not in [80,81,82,...,93]:`) that RevaluationSendMemo (Group E) no longer enforces (that check is commented out there). The same underlying gate now exists in two different, out-of-sync states across two sibling endpoints doing closely related jobs — worth deciding whether the allowlist should apply to both, neither, or be replaced with something more maintainable than a hardcoded id list either way.</w:t>
      </w:r>
    </w:p>
    <w:p>
      <w:pPr>
        <w:spacing w:after="120"/>
      </w:pPr>
      <w:r>
        <w:rPr>
          <w:rFonts w:ascii="Calibri" w:cs="Calibri" w:eastAsia="Calibri" w:hAnsi="Calibri"/>
          <w:i/>
          <w:iCs/>
        </w:rPr>
        <w:t xml:space="preserve">Same psycopg2.Error-specific duplicate-key handling as RevaluationSendMemo.</w:t>
      </w:r>
    </w:p>
    <w:p>
      <w:pPr>
        <w:pStyle w:val="Heading1"/>
        <w:spacing w:after="120" w:before="240"/>
      </w:pPr>
      <w:r>
        <w:t xml:space="preserve">Cross-cutting observations</w:t>
      </w:r>
    </w:p>
    <w:p>
      <w:pPr>
        <w:pStyle w:val="ListParagraph"/>
        <w:numPr>
          <w:ilvl w:val="0"/>
          <w:numId w:val="3"/>
        </w:numPr>
        <w:spacing w:after="80"/>
      </w:pPr>
      <w:r>
        <w:rPr>
          <w:rFonts w:ascii="Calibri" w:cs="Calibri" w:eastAsia="Calibri" w:hAnsi="Calibri"/>
        </w:rPr>
        <w:t xml:space="preserve">StudentResultModalView's dependency on a hardcoded internal API URL, a hardcoded bearer token, and TLS verification disabled (verify=False) — combined with the NameError risk if that call fails — makes this the most fragile single view in the file, and one of the most fragile in the whole codebase reviewed so far.</w:t>
      </w:r>
    </w:p>
    <w:p>
      <w:pPr>
        <w:pStyle w:val="ListParagraph"/>
        <w:numPr>
          <w:ilvl w:val="0"/>
          <w:numId w:val="3"/>
        </w:numPr>
        <w:spacing w:after="80"/>
      </w:pPr>
      <w:r>
        <w:rPr>
          <w:rFonts w:ascii="Calibri" w:cs="Calibri" w:eastAsia="Calibri" w:hAnsi="Calibri"/>
        </w:rPr>
        <w:t xml:space="preserve">sec_eligibility_check and third_eligibility_check are defined but effectively unreachable (only referenced from commented-out code) — worth confirming whether the mark-percentage eligibility rule they encode is enforced elsewhere, or whether it was intentionally replaced by the simpler RevaluationNextLevelEvaluationEligibleFalseNumber existence check.</w:t>
      </w:r>
    </w:p>
    <w:p>
      <w:pPr>
        <w:pStyle w:val="ListParagraph"/>
        <w:numPr>
          <w:ilvl w:val="0"/>
          <w:numId w:val="3"/>
        </w:numPr>
        <w:spacing w:after="80"/>
      </w:pPr>
      <w:r>
        <w:rPr>
          <w:rFonts w:ascii="Calibri" w:cs="Calibri" w:eastAsia="Calibri" w:hAnsi="Calibri"/>
        </w:rPr>
        <w:t xml:space="preserve">course_camp_list_gen's dead 'All camps only' branch means every camp-scoped view in this file (Groups A, B, C) currently ignores the camp_id parameter it accepts.</w:t>
      </w:r>
    </w:p>
    <w:p>
      <w:pPr>
        <w:pStyle w:val="ListParagraph"/>
        <w:numPr>
          <w:ilvl w:val="0"/>
          <w:numId w:val="3"/>
        </w:numPr>
        <w:spacing w:after="80"/>
      </w:pPr>
      <w:r>
        <w:rPr>
          <w:rFonts w:ascii="Calibri" w:cs="Calibri" w:eastAsia="Calibri" w:hAnsi="Calibri"/>
        </w:rPr>
        <w:t xml:space="preserve">The programme-id allowlist gating result publication is commented out in RevaluationSendMemo but still active in RevaluationResultRegenerateWithoutMemoGeneration — the two closely related endpoints have drifted out of sync.</w:t>
      </w:r>
    </w:p>
    <w:p>
      <w:pPr>
        <w:pStyle w:val="ListParagraph"/>
        <w:numPr>
          <w:ilvl w:val="0"/>
          <w:numId w:val="3"/>
        </w:numPr>
        <w:spacing w:after="80"/>
      </w:pPr>
      <w:r>
        <w:rPr>
          <w:rFonts w:ascii="Calibri" w:cs="Calibri" w:eastAsia="Calibri" w:hAnsi="Calibri"/>
        </w:rPr>
        <w:t xml:space="preserve">This file duplicates the mark-decryption helpers, the EmailThread/Util email sender, the SemRevertSemFetch-style semester lookup pattern (indirectly, via revaluation_application_filter's structure), and the raw-psycopg2-outside-transaction pattern for moderation/result generation — all previously documented in the scrutiny_management.py and *_revert.py files.</w:t>
      </w:r>
    </w:p>
    <w:p>
      <w:pPr>
        <w:pStyle w:val="ListParagraph"/>
        <w:numPr>
          <w:ilvl w:val="0"/>
          <w:numId w:val="3"/>
        </w:numPr>
        <w:spacing w:after="80"/>
      </w:pPr>
      <w:r>
        <w:rPr>
          <w:rFonts w:ascii="Calibri" w:cs="Calibri" w:eastAsia="Calibri" w:hAnsi="Calibri"/>
        </w:rPr>
        <w:t xml:space="preserve">No view in this file sets permission_classes explicitly.</w:t>
      </w:r>
    </w:p>
    <w:p>
      <w:pPr>
        <w:pStyle w:val="ListParagraph"/>
        <w:numPr>
          <w:ilvl w:val="0"/>
          <w:numId w:val="3"/>
        </w:numPr>
        <w:spacing w:after="80"/>
      </w:pPr>
      <w:r>
        <w:rPr>
          <w:rFonts w:ascii="Calibri" w:cs="Calibri" w:eastAsia="Calibri" w:hAnsi="Calibri"/>
        </w:rPr>
        <w:t xml:space="preserve">The `logger` variable is never assigned in this file (its assignment lines are commented out) — every logging call depends on a wildcard import supplying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2F5496"/>
      <w:sz w:val="30"/>
      <w:szCs w:val="30"/>
    </w:rPr>
  </w:style>
  <w:style w:type="paragraph" w:styleId="Heading2">
    <w:name w:val="Heading 2"/>
    <w:basedOn w:val="Normal"/>
    <w:next w:val="Normal"/>
    <w:qFormat/>
    <w:pPr>
      <w:spacing w:after="100" w:before="220"/>
    </w:pPr>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2026-08-31T10:40:45.511Z</dcterms:created>
  <dcterms:modified xsi:type="dcterms:W3CDTF">2026-08-31T10:40:45.511Z</dcterms:modified>
</cp:coreProperties>
</file>

<file path=docProps/custom.xml><?xml version="1.0" encoding="utf-8"?>
<Properties xmlns="http://schemas.openxmlformats.org/officeDocument/2006/custom-properties" xmlns:vt="http://schemas.openxmlformats.org/officeDocument/2006/docPropsVTypes"/>
</file>