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rFonts w:ascii="Calibri" w:cs="Calibri" w:eastAsia="Calibri" w:hAnsi="Calibri"/>
          <w:b/>
          <w:bCs/>
          <w:color w:val="2F5496"/>
          <w:sz w:val="56"/>
          <w:szCs w:val="56"/>
        </w:rPr>
        <w:t xml:space="preserve">Onscreen Scrutiny API</w:t>
      </w:r>
    </w:p>
    <w:p>
      <w:pPr>
        <w:spacing w:after="40"/>
      </w:pPr>
      <w:r>
        <w:rPr>
          <w:rFonts w:ascii="Calibri" w:cs="Calibri" w:eastAsia="Calibri" w:hAnsi="Calibri"/>
          <w:color w:val="595959"/>
          <w:sz w:val="28"/>
          <w:szCs w:val="28"/>
        </w:rPr>
        <w:t xml:space="preserve">onscreen_scrutiny.py — API Reference</w:t>
      </w:r>
    </w:p>
    <w:p>
      <w:pPr>
        <w:spacing w:after="40"/>
      </w:pPr>
      <w:r>
        <w:rPr>
          <w:rFonts w:ascii="Calibri" w:cs="Calibri" w:eastAsia="Calibri" w:hAnsi="Calibri"/>
          <w:i/>
          <w:iCs/>
          <w:color w:val="808080"/>
          <w:sz w:val="20"/>
          <w:szCs w:val="20"/>
        </w:rPr>
        <w:t xml:space="preserve">Module: camp-wise onscreen scrutiny — lists eligible programme types and returns a scanned-answersheet review packet (image, per-level marks, final mark) for a specific scrutiny application.</w:t>
      </w:r>
    </w:p>
    <w:p>
      <w:pPr>
        <w:pBdr>
          <w:bottom w:val="single" w:color="2F5496" w:sz="6"/>
        </w:pBdr>
        <w:spacing w:after="400"/>
      </w:pPr>
      <w:r>
        <w:rPr>
          <w:rFonts w:ascii="Calibri" w:cs="Calibri" w:eastAsia="Calibri" w:hAnsi="Calibri"/>
          <w:color w:val="808080"/>
          <w:sz w:val="20"/>
          <w:szCs w:val="20"/>
        </w:rPr>
        <w:t xml:space="preserve">Base class: rest_framework.generics.ListAPIView   ·   No explicit permission_classes set on either view.</w:t>
      </w:r>
    </w:p>
    <w:p>
      <w:pPr>
        <w:pStyle w:val="Heading1"/>
        <w:spacing w:after="120" w:before="240"/>
      </w:pPr>
      <w:r>
        <w:t xml:space="preserve">Module-level helper functions</w:t>
      </w:r>
    </w:p>
    <w:p>
      <w:pPr>
        <w:spacing w:after="120"/>
      </w:pPr>
      <w:r>
        <w:rPr>
          <w:rFonts w:ascii="Calibri" w:cs="Calibri" w:eastAsia="Calibri" w:hAnsi="Calibri"/>
          <w:b/>
          <w:bCs/>
        </w:rPr>
        <w:t xml:space="preserve">round_off(digit)</w:t>
      </w:r>
    </w:p>
    <w:p>
      <w:pPr>
        <w:spacing w:after="120"/>
      </w:pPr>
      <w:r>
        <w:rPr>
          <w:rFonts w:ascii="Calibri" w:cs="Calibri" w:eastAsia="Calibri" w:hAnsi="Calibri"/>
        </w:rPr>
        <w:t xml:space="preserve">Rounds a numeric string to one decimal place with custom rounding rules: .1–.4 round down to .5, .6–.9 round up to the next whole number (i.e. rounds toward the nearest half-mark rather than standard rounding).</w:t>
      </w:r>
    </w:p>
    <w:p>
      <w:pPr>
        <w:spacing w:after="120"/>
      </w:pPr>
      <w:r>
        <w:rPr>
          <w:rFonts w:ascii="Calibri" w:cs="Calibri" w:eastAsia="Calibri" w:hAnsi="Calibri"/>
          <w:b/>
          <w:bCs/>
        </w:rPr>
        <w:t xml:space="preserve">mark_encrpt(data) / passmark_encrpt(data) / mark_decryption(encryp_mark)</w:t>
      </w:r>
    </w:p>
    <w:p>
      <w:pPr>
        <w:spacing w:after="120"/>
      </w:pPr>
      <w:r>
        <w:rPr>
          <w:rFonts w:ascii="Calibri" w:cs="Calibri" w:eastAsia="Calibri" w:hAnsi="Calibri"/>
        </w:rPr>
        <w:t xml:space="preserve">Fernet-based encrypt/decrypt helpers for marks, each opening a PEM key file fresh on every call (pvt_key_me.pem for marks, private_key.pem for passmark). mark_decryption strips the first 2 and last 1 characters from the stored value before decrypting (encryp_mark[2:lenth]) — implying marks are stored with a fixed prefix/suffix (likely Python's b'...' byte-string repr) that must be manually stripped.</w:t>
      </w:r>
    </w:p>
    <w:p>
      <w:pPr>
        <w:pBdr>
          <w:left w:val="single" w:color="C00000" w:sz="12"/>
        </w:pBdr>
        <w:shd w:fill="FDE7E7" w:val="clear"/>
        <w:spacing w:after="200" w:before="80"/>
        <w:ind w:left="120"/>
      </w:pPr>
      <w:r>
        <w:rPr>
          <w:rFonts w:ascii="Calibri" w:cs="Calibri" w:eastAsia="Calibri" w:hAnsi="Calibri"/>
          <w:i/>
          <w:iCs/>
          <w:sz w:val="20"/>
          <w:szCs w:val="20"/>
        </w:rPr>
        <w:t xml:space="preserve">None of Fernet, serialization-related names, or base64 (used inside these functions and in the views below) are imported at the top of this file — only `import base64` appears explicitly. Fernet itself has no explicit import here; it must be reaching this file via one of the wildcard imports (from util.constants import *, from util.serializers import *, from util.models import *, or from .serializers import *). This is a fragile, implicit dependency — if any of those modules stops re-exporting Fernet, every encryption/decryption call in this file breaks with a NameError and the failure point won't be obvious from this file's own imports.</w:t>
      </w:r>
    </w:p>
    <w:p>
      <w:pPr>
        <w:pBdr>
          <w:left w:val="single" w:color="E8B923" w:sz="12"/>
        </w:pBdr>
        <w:shd w:fill="FFF6DA" w:val="clear"/>
        <w:spacing w:after="200" w:before="80"/>
        <w:ind w:left="120"/>
      </w:pPr>
      <w:r>
        <w:rPr>
          <w:rFonts w:ascii="Calibri" w:cs="Calibri" w:eastAsia="Calibri" w:hAnsi="Calibri"/>
          <w:i/>
          <w:iCs/>
          <w:sz w:val="20"/>
          <w:szCs w:val="20"/>
        </w:rPr>
        <w:t xml:space="preserve">These three functions are near-duplicates of the same-named functions in scrutiny_report.py and scrutiny_management.py (round_off, mark_encrpt/mark_decryption bodies are identical or near-identical) — this logic now exists independently in at least three files across the scrutiny module.</w:t>
      </w:r>
    </w:p>
    <w:p>
      <w:pPr>
        <w:spacing w:after="120"/>
      </w:pPr>
      <w:r>
        <w:rPr>
          <w:rFonts w:ascii="Calibri" w:cs="Calibri" w:eastAsia="Calibri" w:hAnsi="Calibri"/>
          <w:b/>
          <w:bCs/>
        </w:rPr>
        <w:t xml:space="preserve">level_mark(data)</w:t>
      </w:r>
    </w:p>
    <w:p>
      <w:pPr>
        <w:pBdr>
          <w:top w:val="single" w:color="C00000" w:sz="6"/>
          <w:bottom w:val="single" w:color="C00000" w:sz="6"/>
          <w:left w:val="single" w:color="C00000" w:sz="20"/>
          <w:right w:val="single" w:color="C00000" w:sz="6"/>
        </w:pBdr>
        <w:shd w:fill="FDE7E7" w:val="clear"/>
        <w:spacing w:after="200" w:before="100"/>
        <w:ind w:left="120"/>
      </w:pPr>
      <w:r>
        <w:rPr>
          <w:rFonts w:ascii="Calibri" w:cs="Calibri" w:eastAsia="Calibri" w:hAnsi="Calibri"/>
          <w:b/>
          <w:bCs/>
          <w:color w:val="C00000"/>
          <w:sz w:val="20"/>
          <w:szCs w:val="20"/>
        </w:rPr>
        <w:t xml:space="preserve">`markobj = ScannedAnswersheetMark.objexts.filter(exr_as = data)` — .objexts is a typo for .objects. This function will raise AttributeError on every call. It also has no return statement (the result is computed but never returned) and is not called anywhere else in this file — dead code, but broken dead code, worth removing or fixing if it's meant to be used elsewhere.</w:t>
      </w:r>
    </w:p>
    <w:p>
      <w:pPr>
        <w:pStyle w:val="Heading1"/>
        <w:spacing w:after="120" w:before="240"/>
      </w:pPr>
      <w:r>
        <w:t xml:space="preserve">1. CampWiseScrutinyOnscreenApplication</w:t>
      </w:r>
    </w:p>
    <w:p>
      <w:pPr>
        <w:pStyle w:val="Heading2"/>
        <w:spacing w:after="120" w:before="240"/>
      </w:pPr>
      <w:r>
        <w:t xml:space="preserve">GET</w:t>
      </w:r>
    </w:p>
    <w:p>
      <w:pPr>
        <w:spacing w:after="120"/>
      </w:pPr>
      <w:r>
        <w:rPr>
          <w:rFonts w:ascii="Calibri" w:cs="Calibri" w:eastAsia="Calibri" w:hAnsi="Calibri"/>
        </w:rPr>
        <w:t xml:space="preserve">Returns the programme types relevant to the caller's assigned subsections, for populating a selection form.</w:t>
      </w:r>
    </w:p>
    <w:p>
      <w:pPr>
        <w:spacing w:after="120"/>
      </w:pPr>
      <w:r>
        <w:rPr>
          <w:rFonts w:ascii="Calibri" w:cs="Calibri" w:eastAsia="Calibri" w:hAnsi="Calibri"/>
        </w:rPr>
        <w:t xml:space="preserve">Response: { pgm_types } · status 200.</w:t>
      </w:r>
    </w:p>
    <w:p>
      <w:pPr>
        <w:pStyle w:val="Heading1"/>
        <w:spacing w:after="120" w:before="240"/>
      </w:pPr>
      <w:r>
        <w:t xml:space="preserve">2. CampWiseOnscreenScrutinyAnswersheet</w:t>
      </w:r>
    </w:p>
    <w:p>
      <w:pPr>
        <w:pStyle w:val="Heading2"/>
        <w:spacing w:after="120" w:before="240"/>
      </w:pPr>
      <w:r>
        <w:t xml:space="preserve">POST</w:t>
      </w:r>
    </w:p>
    <w:p>
      <w:pPr>
        <w:spacing w:after="120"/>
      </w:pPr>
      <w:r>
        <w:rPr>
          <w:rFonts w:ascii="Calibri" w:cs="Calibri" w:eastAsia="Calibri" w:hAnsi="Calibri"/>
        </w:rPr>
        <w:t xml:space="preserve">Returns a scanned-answersheet review packet for a specific revaluation course: the answersheet image URL, each evaluator level's decrypted mark, the final awarded mark, and the maximum mark for the course.</w:t>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000"/>
      </w:tblGrid>
      <w:tr>
        <w:trPr>
          <w:tblHeader/>
        </w:trPr>
        <w:tc>
          <w:tcPr>
            <w:tcW w:type="dxa" w:w="2400"/>
            <w:shd w:fill="2F5496" w:val="clear"/>
          </w:tcPr>
          <w:p>
            <w:r>
              <w:rPr>
                <w:rFonts w:ascii="Calibri" w:cs="Calibri" w:eastAsia="Calibri" w:hAnsi="Calibri"/>
                <w:b/>
                <w:bCs/>
                <w:color w:val="FFFFFF"/>
                <w:sz w:val="20"/>
                <w:szCs w:val="20"/>
              </w:rPr>
              <w:t xml:space="preserve">Field</w:t>
            </w:r>
          </w:p>
        </w:tc>
        <w:tc>
          <w:tcPr>
            <w:tcW w:type="dxa" w:w="2400"/>
            <w:shd w:fill="2F5496" w:val="clear"/>
          </w:tcPr>
          <w:p>
            <w:r>
              <w:rPr>
                <w:rFonts w:ascii="Calibri" w:cs="Calibri" w:eastAsia="Calibri" w:hAnsi="Calibri"/>
                <w:b/>
                <w:bCs/>
                <w:color w:val="FFFFFF"/>
                <w:sz w:val="20"/>
                <w:szCs w:val="20"/>
              </w:rPr>
              <w:t xml:space="preserve">Required</w:t>
            </w:r>
          </w:p>
        </w:tc>
        <w:tc>
          <w:tcPr>
            <w:tcW w:type="dxa" w:w="4000"/>
            <w:shd w:fill="2F5496" w:val="clear"/>
          </w:tcPr>
          <w:p>
            <w:r>
              <w:rPr>
                <w:rFonts w:ascii="Calibri" w:cs="Calibri" w:eastAsia="Calibri" w:hAnsi="Calibri"/>
                <w:b/>
                <w:bCs/>
                <w:color w:val="FFFFFF"/>
                <w:sz w:val="20"/>
                <w:szCs w:val="20"/>
              </w:rPr>
              <w:t xml:space="preserve">Notes</w:t>
            </w:r>
          </w:p>
        </w:tc>
      </w:tr>
      <w:tr>
        <w:tc>
          <w:tcPr>
            <w:tcW w:type="dxa" w:w="2400"/>
          </w:tcPr>
          <w:p>
            <w:r>
              <w:rPr>
                <w:rFonts w:ascii="Calibri" w:cs="Calibri" w:eastAsia="Calibri" w:hAnsi="Calibri"/>
                <w:sz w:val="20"/>
                <w:szCs w:val="20"/>
              </w:rPr>
              <w:t xml:space="preserve">modeid</w:t>
            </w:r>
          </w:p>
        </w:tc>
        <w:tc>
          <w:tcPr>
            <w:tcW w:type="dxa" w:w="2400"/>
          </w:tcPr>
          <w:p>
            <w:r>
              <w:rPr>
                <w:rFonts w:ascii="Calibri" w:cs="Calibri" w:eastAsia="Calibri" w:hAnsi="Calibri"/>
                <w:sz w:val="20"/>
                <w:szCs w:val="20"/>
              </w:rPr>
              <w:t xml:space="preserve">Yes</w:t>
            </w:r>
          </w:p>
        </w:tc>
        <w:tc>
          <w:tcPr>
            <w:tcW w:type="dxa" w:w="4000"/>
          </w:tcPr>
          <w:p>
            <w:r>
              <w:rPr>
                <w:rFonts w:ascii="Calibri" w:cs="Calibri" w:eastAsia="Calibri" w:hAnsi="Calibri"/>
                <w:sz w:val="20"/>
                <w:szCs w:val="20"/>
              </w:rPr>
              <w:t xml:space="preserve">Candidate code</w:t>
            </w:r>
          </w:p>
        </w:tc>
      </w:tr>
      <w:tr>
        <w:tc>
          <w:tcPr>
            <w:tcW w:type="dxa" w:w="2400"/>
          </w:tcPr>
          <w:p>
            <w:r>
              <w:rPr>
                <w:rFonts w:ascii="Calibri" w:cs="Calibri" w:eastAsia="Calibri" w:hAnsi="Calibri"/>
                <w:sz w:val="20"/>
                <w:szCs w:val="20"/>
              </w:rPr>
              <w:t xml:space="preserve">prg, sem, exam</w:t>
            </w:r>
          </w:p>
        </w:tc>
        <w:tc>
          <w:tcPr>
            <w:tcW w:type="dxa" w:w="2400"/>
          </w:tcPr>
          <w:p>
            <w:r>
              <w:rPr>
                <w:rFonts w:ascii="Calibri" w:cs="Calibri" w:eastAsia="Calibri" w:hAnsi="Calibri"/>
                <w:sz w:val="20"/>
                <w:szCs w:val="20"/>
              </w:rPr>
              <w:t xml:space="preserve">Read but only prg is used</w:t>
            </w:r>
          </w:p>
        </w:tc>
        <w:tc>
          <w:tcPr>
            <w:tcW w:type="dxa" w:w="4000"/>
          </w:tcPr>
          <w:p>
            <w:r>
              <w:rPr>
                <w:rFonts w:ascii="Calibri" w:cs="Calibri" w:eastAsia="Calibri" w:hAnsi="Calibri"/>
                <w:sz w:val="20"/>
                <w:szCs w:val="20"/>
              </w:rPr>
              <w:t xml:space="preserve">sem and exam are fetched from request.data but never referenced afterward</w:t>
            </w:r>
          </w:p>
        </w:tc>
      </w:tr>
      <w:tr>
        <w:tc>
          <w:tcPr>
            <w:tcW w:type="dxa" w:w="2400"/>
          </w:tcPr>
          <w:p>
            <w:r>
              <w:rPr>
                <w:rFonts w:ascii="Calibri" w:cs="Calibri" w:eastAsia="Calibri" w:hAnsi="Calibri"/>
                <w:sz w:val="20"/>
                <w:szCs w:val="20"/>
              </w:rPr>
              <w:t xml:space="preserve">rev_course_id</w:t>
            </w:r>
          </w:p>
        </w:tc>
        <w:tc>
          <w:tcPr>
            <w:tcW w:type="dxa" w:w="2400"/>
          </w:tcPr>
          <w:p>
            <w:r>
              <w:rPr>
                <w:rFonts w:ascii="Calibri" w:cs="Calibri" w:eastAsia="Calibri" w:hAnsi="Calibri"/>
                <w:sz w:val="20"/>
                <w:szCs w:val="20"/>
              </w:rPr>
              <w:t xml:space="preserve">Yes</w:t>
            </w:r>
          </w:p>
        </w:tc>
        <w:tc>
          <w:tcPr>
            <w:tcW w:type="dxa" w:w="4000"/>
          </w:tcPr>
          <w:p>
            <w:r>
              <w:rPr>
                <w:rFonts w:ascii="Calibri" w:cs="Calibri" w:eastAsia="Calibri" w:hAnsi="Calibri"/>
                <w:sz w:val="20"/>
                <w:szCs w:val="20"/>
              </w:rPr>
              <w:t xml:space="preserve">RevaluationCourse id</w:t>
            </w:r>
          </w:p>
        </w:tc>
      </w:tr>
    </w:tbl>
    <w:p>
      <w:pPr>
        <w:spacing w:after="100"/>
      </w:pPr>
    </w:p>
    <w:p>
      <w:pPr>
        <w:spacing w:after="120"/>
      </w:pPr>
      <w:r>
        <w:rPr>
          <w:rFonts w:ascii="Calibri" w:cs="Calibri" w:eastAsia="Calibri" w:hAnsi="Calibri"/>
          <w:b/>
          <w:bCs/>
        </w:rPr>
        <w:t xml:space="preserve">Response:</w:t>
      </w:r>
    </w:p>
    <w:p>
      <w:pPr>
        <w:pBdr>
          <w:top w:val="single" w:color="CCCCCC" w:sz="2"/>
          <w:bottom w:val="single" w:color="CCCCCC" w:sz="2"/>
          <w:left w:val="single" w:color="CCCCCC" w:sz="2"/>
          <w:right w:val="single" w:color="CCCCCC" w:sz="2"/>
        </w:pBdr>
        <w:shd w:fill="F2F2F2" w:val="clear"/>
        <w:spacing w:after="200"/>
      </w:pPr>
      <w:r>
        <w:rPr>
          <w:rFonts w:ascii="Consolas" w:cs="Consolas" w:eastAsia="Consolas" w:hAnsi="Consolas"/>
          <w:sz w:val="20"/>
          <w:szCs w:val="20"/>
        </w:rPr>
        <w:t xml:space="preserve">{</w:t>
      </w:r>
      <w:r>
        <w:rPr>
          <w:rFonts w:ascii="Consolas" w:cs="Consolas" w:eastAsia="Consolas" w:hAnsi="Consolas"/>
          <w:sz w:val="20"/>
          <w:szCs w:val="20"/>
        </w:rPr>
        <w:br/>
        <w:t xml:space="preserve"/>
      </w:r>
      <w:r>
        <w:rPr>
          <w:rFonts w:ascii="Consolas" w:cs="Consolas" w:eastAsia="Consolas" w:hAnsi="Consolas"/>
          <w:sz w:val="20"/>
          <w:szCs w:val="20"/>
        </w:rPr>
        <w:t xml:space="preserve">  "ansurl": &lt;file path&gt;,</w:t>
      </w:r>
      <w:r>
        <w:rPr>
          <w:rFonts w:ascii="Consolas" w:cs="Consolas" w:eastAsia="Consolas" w:hAnsi="Consolas"/>
          <w:sz w:val="20"/>
          <w:szCs w:val="20"/>
        </w:rPr>
        <w:br/>
        <w:t xml:space="preserve"/>
      </w:r>
      <w:r>
        <w:rPr>
          <w:rFonts w:ascii="Consolas" w:cs="Consolas" w:eastAsia="Consolas" w:hAnsi="Consolas"/>
          <w:sz w:val="20"/>
          <w:szCs w:val="20"/>
        </w:rPr>
        <w:t xml:space="preserve">  "first_level_mark": &lt;decrypted mark | "NA"&gt;,</w:t>
      </w:r>
      <w:r>
        <w:rPr>
          <w:rFonts w:ascii="Consolas" w:cs="Consolas" w:eastAsia="Consolas" w:hAnsi="Consolas"/>
          <w:sz w:val="20"/>
          <w:szCs w:val="20"/>
        </w:rPr>
        <w:br/>
        <w:t xml:space="preserve"/>
      </w:r>
      <w:r>
        <w:rPr>
          <w:rFonts w:ascii="Consolas" w:cs="Consolas" w:eastAsia="Consolas" w:hAnsi="Consolas"/>
          <w:sz w:val="20"/>
          <w:szCs w:val="20"/>
        </w:rPr>
        <w:t xml:space="preserve">  "second_level_mark": &lt;decrypted mark | "NA"&gt;,</w:t>
      </w:r>
      <w:r>
        <w:rPr>
          <w:rFonts w:ascii="Consolas" w:cs="Consolas" w:eastAsia="Consolas" w:hAnsi="Consolas"/>
          <w:sz w:val="20"/>
          <w:szCs w:val="20"/>
        </w:rPr>
        <w:br/>
        <w:t xml:space="preserve"/>
      </w:r>
      <w:r>
        <w:rPr>
          <w:rFonts w:ascii="Consolas" w:cs="Consolas" w:eastAsia="Consolas" w:hAnsi="Consolas"/>
          <w:sz w:val="20"/>
          <w:szCs w:val="20"/>
        </w:rPr>
        <w:t xml:space="preserve">  "third_level_mark": &lt;decrypted mark | "NA"&gt;,</w:t>
      </w:r>
      <w:r>
        <w:rPr>
          <w:rFonts w:ascii="Consolas" w:cs="Consolas" w:eastAsia="Consolas" w:hAnsi="Consolas"/>
          <w:sz w:val="20"/>
          <w:szCs w:val="20"/>
        </w:rPr>
        <w:br/>
        <w:t xml:space="preserve"/>
      </w:r>
      <w:r>
        <w:rPr>
          <w:rFonts w:ascii="Consolas" w:cs="Consolas" w:eastAsia="Consolas" w:hAnsi="Consolas"/>
          <w:sz w:val="20"/>
          <w:szCs w:val="20"/>
        </w:rPr>
        <w:t xml:space="preserve">  "final_mark_awarded": &lt;decrypted mark&gt;,</w:t>
      </w:r>
      <w:r>
        <w:rPr>
          <w:rFonts w:ascii="Consolas" w:cs="Consolas" w:eastAsia="Consolas" w:hAnsi="Consolas"/>
          <w:sz w:val="20"/>
          <w:szCs w:val="20"/>
        </w:rPr>
        <w:br/>
        <w:t xml:space="preserve"/>
      </w:r>
      <w:r>
        <w:rPr>
          <w:rFonts w:ascii="Consolas" w:cs="Consolas" w:eastAsia="Consolas" w:hAnsi="Consolas"/>
          <w:sz w:val="20"/>
          <w:szCs w:val="20"/>
        </w:rPr>
        <w:t xml:space="preserve">  "course_param_value": &lt;max mark for the course&gt;,</w:t>
      </w:r>
      <w:r>
        <w:rPr>
          <w:rFonts w:ascii="Consolas" w:cs="Consolas" w:eastAsia="Consolas" w:hAnsi="Consolas"/>
          <w:sz w:val="20"/>
          <w:szCs w:val="20"/>
        </w:rPr>
        <w:br/>
        <w:t xml:space="preserve"/>
      </w:r>
      <w:r>
        <w:rPr>
          <w:rFonts w:ascii="Consolas" w:cs="Consolas" w:eastAsia="Consolas" w:hAnsi="Consolas"/>
          <w:sz w:val="20"/>
          <w:szCs w:val="20"/>
        </w:rPr>
        <w:t xml:space="preserve">  "cadidatecode", "course_code", "course_name"</w:t>
      </w:r>
      <w:r>
        <w:rPr>
          <w:rFonts w:ascii="Consolas" w:cs="Consolas" w:eastAsia="Consolas" w:hAnsi="Consolas"/>
          <w:sz w:val="20"/>
          <w:szCs w:val="20"/>
        </w:rPr>
        <w:br/>
        <w:t xml:space="preserve"/>
      </w:r>
      <w:r>
        <w:rPr>
          <w:rFonts w:ascii="Consolas" w:cs="Consolas" w:eastAsia="Consolas" w:hAnsi="Consolas"/>
          <w:sz w:val="20"/>
          <w:szCs w:val="20"/>
        </w:rPr>
        <w:t xml:space="preserve">}</w:t>
      </w:r>
    </w:p>
    <w:p>
      <w:pPr>
        <w:spacing w:after="120"/>
      </w:pPr>
      <w:r>
        <w:rPr>
          <w:rFonts w:ascii="Calibri" w:cs="Calibri" w:eastAsia="Calibri" w:hAnsi="Calibri"/>
        </w:rPr>
        <w:t xml:space="preserve">Processing flow:</w:t>
      </w:r>
    </w:p>
    <w:p>
      <w:pPr>
        <w:pStyle w:val="ListParagraph"/>
        <w:numPr>
          <w:ilvl w:val="0"/>
          <w:numId w:val="2"/>
        </w:numPr>
        <w:spacing w:after="80"/>
      </w:pPr>
      <w:r>
        <w:rPr>
          <w:rFonts w:ascii="Calibri" w:cs="Calibri" w:eastAsia="Calibri" w:hAnsi="Calibri"/>
        </w:rPr>
        <w:t xml:space="preserve">Resolves the student and their ExamRegistration for the given exam (examreg is computed but not used further in this method — see below).</w:t>
      </w:r>
    </w:p>
    <w:p>
      <w:pPr>
        <w:pStyle w:val="ListParagraph"/>
        <w:numPr>
          <w:ilvl w:val="0"/>
          <w:numId w:val="2"/>
        </w:numPr>
        <w:spacing w:after="80"/>
      </w:pPr>
      <w:r>
        <w:rPr>
          <w:rFonts w:ascii="Calibri" w:cs="Calibri" w:eastAsia="Calibri" w:hAnsi="Calibri"/>
        </w:rPr>
        <w:t xml:space="preserve">Resolves the RevaluationCourse and its DigitalFalseNumber, course, and programme type.</w:t>
      </w:r>
    </w:p>
    <w:p>
      <w:pPr>
        <w:pStyle w:val="ListParagraph"/>
        <w:numPr>
          <w:ilvl w:val="0"/>
          <w:numId w:val="2"/>
        </w:numPr>
        <w:spacing w:after="80"/>
      </w:pPr>
      <w:r>
        <w:rPr>
          <w:rFonts w:ascii="Calibri" w:cs="Calibri" w:eastAsia="Calibri" w:hAnsi="Calibri"/>
        </w:rPr>
        <w:t xml:space="preserve">Looks up the course's max ESA mark parameter and the final awarded mark (decrypted).</w:t>
      </w:r>
    </w:p>
    <w:p>
      <w:pPr>
        <w:pStyle w:val="ListParagraph"/>
        <w:numPr>
          <w:ilvl w:val="0"/>
          <w:numId w:val="2"/>
        </w:numPr>
        <w:spacing w:after="80"/>
      </w:pPr>
      <w:r>
        <w:rPr>
          <w:rFonts w:ascii="Calibri" w:cs="Calibri" w:eastAsia="Calibri" w:hAnsi="Calibri"/>
        </w:rPr>
        <w:t xml:space="preserve">Finds every ExaminerScannedAnswersheet tied to this false number's bundle-camp allocation, and for each, decrypts the mark recorded at whichever evaluation level (first/second/third) that examiner was assigned.</w:t>
      </w:r>
    </w:p>
    <w:p>
      <w:pPr>
        <w:pBdr>
          <w:top w:val="single" w:color="C00000" w:sz="6"/>
          <w:bottom w:val="single" w:color="C00000" w:sz="6"/>
          <w:left w:val="single" w:color="C00000" w:sz="20"/>
          <w:right w:val="single" w:color="C00000" w:sz="6"/>
        </w:pBdr>
        <w:shd w:fill="FDE7E7" w:val="clear"/>
        <w:spacing w:after="200" w:before="100"/>
        <w:ind w:left="120"/>
      </w:pPr>
      <w:r>
        <w:rPr>
          <w:rFonts w:ascii="Calibri" w:cs="Calibri" w:eastAsia="Calibri" w:hAnsi="Calibri"/>
          <w:b/>
          <w:bCs/>
          <w:color w:val="C00000"/>
          <w:sz w:val="20"/>
          <w:szCs w:val="20"/>
        </w:rPr>
        <w:t xml:space="preserve">The exception handler calls `return pagination_response(False, INTERNAL_SERVER_ERROR, {}, BAD_GATEWAY_ERROR_CODE, status_code=status.HTTP_500_INTERNAL_SERVER_ERROR)` — every other view across this entire codebase uses format_response for its error envelope; pagination_response is a different, unrelated helper (presumably meant for paginated list responses) that is not imported anywhere visible in this file. If pagination_response isn't available via one of the wildcard imports either, this line itself raises NameError whenever the try block fails — meaning a genuine error in this view surfaces as an unrelated NameError instead of the intended graceful error response, and the original exception's log entry (from logger.error just above) is the only trace of what actually went wrong.</w:t>
      </w:r>
    </w:p>
    <w:p>
      <w:pPr>
        <w:pBdr>
          <w:left w:val="single" w:color="C00000" w:sz="12"/>
        </w:pBdr>
        <w:shd w:fill="FDE7E7" w:val="clear"/>
        <w:spacing w:after="200" w:before="80"/>
        <w:ind w:left="120"/>
      </w:pPr>
      <w:r>
        <w:rPr>
          <w:rFonts w:ascii="Calibri" w:cs="Calibri" w:eastAsia="Calibri" w:hAnsi="Calibri"/>
          <w:i/>
          <w:iCs/>
          <w:sz w:val="20"/>
          <w:szCs w:val="20"/>
        </w:rPr>
        <w:t xml:space="preserve">The nested loop structure is fragile: bund_camp_list is only assigned INSIDE the `for bnd in bundcandobj:` loop (each iteration recomputes it from bundle_list built up to that point, then immediately uses it in the same iteration) rather than being computed once after the loop completes. If bundcandobj is empty, bund_camp_list is never assigned at all, and the subsequent `for exr in examinerscnobj: ... bundle_camp__id__in=bund_camp_list` reference raises NameError.</w:t>
      </w:r>
    </w:p>
    <w:p>
      <w:pPr>
        <w:pBdr>
          <w:left w:val="single" w:color="C00000" w:sz="12"/>
        </w:pBdr>
        <w:shd w:fill="FDE7E7" w:val="clear"/>
        <w:spacing w:after="200" w:before="80"/>
        <w:ind w:left="120"/>
      </w:pPr>
      <w:r>
        <w:rPr>
          <w:rFonts w:ascii="Calibri" w:cs="Calibri" w:eastAsia="Calibri" w:hAnsi="Calibri"/>
          <w:i/>
          <w:iCs/>
          <w:sz w:val="20"/>
          <w:szCs w:val="20"/>
        </w:rPr>
        <w:t xml:space="preserve">bundexaminerobj = BundleExaminer.objects.filter(...).first() is dereferenced (.evaluation_type.id) with no None-check — if no matching allocation exists for a given examiner-scan row, this raises AttributeError, aborting the whole request rather than just skipping that one row.</w:t>
      </w:r>
    </w:p>
    <w:p>
      <w:pPr>
        <w:pBdr>
          <w:left w:val="single" w:color="E8B923" w:sz="12"/>
        </w:pBdr>
        <w:shd w:fill="FFF6DA" w:val="clear"/>
        <w:spacing w:after="200" w:before="80"/>
        <w:ind w:left="120"/>
      </w:pPr>
      <w:r>
        <w:rPr>
          <w:rFonts w:ascii="Calibri" w:cs="Calibri" w:eastAsia="Calibri" w:hAnsi="Calibri"/>
          <w:i/>
          <w:iCs/>
          <w:sz w:val="20"/>
          <w:szCs w:val="20"/>
        </w:rPr>
        <w:t xml:space="preserve">examreg (the student's exam registrations, filtered by exam) is computed but never used afterward — course/mark resolution instead goes entirely through rev_course_id and its linked digital false number. Likely leftover from an earlier version of this view.</w:t>
      </w:r>
    </w:p>
    <w:p>
      <w:pPr>
        <w:pStyle w:val="Heading1"/>
        <w:spacing w:after="120" w:before="240"/>
      </w:pPr>
      <w:r>
        <w:t xml:space="preserve">Cross-cutting observations</w:t>
      </w:r>
    </w:p>
    <w:p>
      <w:pPr>
        <w:pStyle w:val="ListParagraph"/>
        <w:numPr>
          <w:ilvl w:val="0"/>
          <w:numId w:val="3"/>
        </w:numPr>
        <w:spacing w:after="80"/>
      </w:pPr>
      <w:r>
        <w:rPr>
          <w:rFonts w:ascii="Calibri" w:cs="Calibri" w:eastAsia="Calibri" w:hAnsi="Calibri"/>
        </w:rPr>
        <w:t xml:space="preserve">The error-handling call in CampWiseOnscreenScrutinyAnswersheet using pagination_response instead of format_response is the most immediately actionable fix in this file — it undermines the one safety net (graceful error response) this view has.</w:t>
      </w:r>
    </w:p>
    <w:p>
      <w:pPr>
        <w:pStyle w:val="ListParagraph"/>
        <w:numPr>
          <w:ilvl w:val="0"/>
          <w:numId w:val="3"/>
        </w:numPr>
        <w:spacing w:after="80"/>
      </w:pPr>
      <w:r>
        <w:rPr>
          <w:rFonts w:ascii="Calibri" w:cs="Calibri" w:eastAsia="Calibri" w:hAnsi="Calibri"/>
        </w:rPr>
        <w:t xml:space="preserve">No permission_classes set on either view, despite returning scanned answersheet images and marks.</w:t>
      </w:r>
    </w:p>
    <w:p>
      <w:pPr>
        <w:pStyle w:val="ListParagraph"/>
        <w:numPr>
          <w:ilvl w:val="0"/>
          <w:numId w:val="3"/>
        </w:numPr>
        <w:spacing w:after="80"/>
      </w:pPr>
      <w:r>
        <w:rPr>
          <w:rFonts w:ascii="Calibri" w:cs="Calibri" w:eastAsia="Calibri" w:hAnsi="Calibri"/>
        </w:rPr>
        <w:t xml:space="preserve">The encryption helpers (round_off, mark_encrpt, passmark_encrpt, mark_decryption) are duplicated near-verbatim in scrutiny_report.py and scrutiny_management.py — consolidating into one shared module would reduce the risk of the three copies drifting apart (e.g. one being fixed for an edge case the other two still have).</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60"/>
      </w:pPr>
    </w:lvl>
  </w:abstractNum>
  <w:abstractNum w:abstractNumId="3" w15:restartNumberingAfterBreak="0">
    <w:multiLevelType w:val="hybridMultilevel"/>
    <w:lvl w:ilvl="0" w15:tentative="1">
      <w:start w:val="1"/>
      <w:numFmt w:val="decimal"/>
      <w:lvlText w:val="%1."/>
      <w:lvlJc w:val="left"/>
      <w:pPr>
        <w:ind w:left="360" w:hanging="2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140" w:before="320"/>
    </w:pPr>
    <w:rPr>
      <w:rFonts w:ascii="Calibri" w:cs="Calibri" w:eastAsia="Calibri" w:hAnsi="Calibri"/>
      <w:b/>
      <w:bCs/>
      <w:color w:val="2F5496"/>
      <w:sz w:val="30"/>
      <w:szCs w:val="30"/>
    </w:rPr>
  </w:style>
  <w:style w:type="paragraph" w:styleId="Heading2">
    <w:name w:val="Heading 2"/>
    <w:basedOn w:val="Normal"/>
    <w:next w:val="Normal"/>
    <w:qFormat/>
    <w:pPr>
      <w:spacing w:after="100" w:before="220"/>
    </w:pPr>
    <w:rPr>
      <w:rFonts w:ascii="Calibri" w:cs="Calibri" w:eastAsia="Calibri" w:hAnsi="Calibri"/>
      <w:b/>
      <w:bCs/>
      <w:color w:val="1F3864"/>
      <w:sz w:val="24"/>
      <w:szCs w:val="24"/>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2026-08-31T05:47:42.196Z</dcterms:created>
  <dcterms:modified xsi:type="dcterms:W3CDTF">2026-08-31T05:47:42.210Z</dcterms:modified>
</cp:coreProperties>
</file>

<file path=docProps/custom.xml><?xml version="1.0" encoding="utf-8"?>
<Properties xmlns="http://schemas.openxmlformats.org/officeDocument/2006/custom-properties" xmlns:vt="http://schemas.openxmlformats.org/officeDocument/2006/docPropsVTypes"/>
</file>