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2F5496"/>
          <w:sz w:val="56"/>
          <w:szCs w:val="56"/>
        </w:rPr>
        <w:t xml:space="preserve">Scrutiny Application — Online Evaluation API</w:t>
      </w:r>
    </w:p>
    <w:p>
      <w:pPr>
        <w:spacing w:after="40"/>
      </w:pPr>
      <w:r>
        <w:rPr>
          <w:rFonts w:ascii="Calibri" w:cs="Calibri" w:eastAsia="Calibri" w:hAnsi="Calibri"/>
          <w:color w:val="595959"/>
          <w:sz w:val="28"/>
          <w:szCs w:val="28"/>
        </w:rPr>
        <w:t xml:space="preserve">scrutiny_online.py — API Reference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808080"/>
          <w:sz w:val="20"/>
          <w:szCs w:val="20"/>
        </w:rPr>
        <w:t xml:space="preserve">Module: a cascading programme/scheme/exam/course filter chain feeding a college-wise scrutiny application list, plus a single-candidate answersheet/response viewer, for the online-evaluation scrutiny workflow.</w:t>
      </w:r>
    </w:p>
    <w:p>
      <w:pPr>
        <w:pBdr>
          <w:bottom w:val="single" w:color="2F5496" w:sz="6"/>
        </w:pBdr>
        <w:spacing w:after="400"/>
      </w:pPr>
      <w:r>
        <w:rPr>
          <w:rFonts w:ascii="Calibri" w:cs="Calibri" w:eastAsia="Calibri" w:hAnsi="Calibri"/>
          <w:color w:val="808080"/>
          <w:sz w:val="20"/>
          <w:szCs w:val="20"/>
        </w:rPr>
        <w:t xml:space="preserve">Base class: rest_framework.generics.ListAPIView   ·   No explicit permission_classes set on any view.</w:t>
      </w:r>
    </w:p>
    <w:p>
      <w:pPr>
        <w:pStyle w:val="Heading1"/>
        <w:spacing w:after="120" w:before="240"/>
      </w:pPr>
      <w:r>
        <w:t xml:space="preserve">Group A — Cascading Filters</w:t>
      </w:r>
    </w:p>
    <w:p>
      <w:pPr>
        <w:spacing w:after="120"/>
      </w:pPr>
      <w:r>
        <w:rPr>
          <w:rFonts w:ascii="Calibri" w:cs="Calibri" w:eastAsia="Calibri" w:hAnsi="Calibri"/>
        </w:rPr>
        <w:t xml:space="preserve">A chain of endpoints narrowing programme type → group → class → programme → scheme/semester → exam → course, each depending on ids returned by the previous step. All scope results to the caller's assigned subsections (via StaffBase/StaffSection/SubsectionProgramme) except Programmes and Courseonline, which query directly by the supplied ids.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200"/>
      </w:tblGrid>
      <w:tr>
        <w:trPr>
          <w:tblHeader/>
        </w:trPr>
        <w:tc>
          <w:tcPr>
            <w:tcW w:type="dxa" w:w="26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View</w:t>
            </w:r>
          </w:p>
        </w:tc>
        <w:tc>
          <w:tcPr>
            <w:tcW w:type="dxa" w:w="36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 &amp; input</w:t>
            </w:r>
          </w:p>
        </w:tc>
        <w:tc>
          <w:tcPr>
            <w:tcW w:type="dxa" w:w="3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Response key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CollegeWiseScrutiny</w:t>
            </w:r>
          </w:p>
        </w:tc>
        <w:tc>
          <w:tcPr>
            <w:tcW w:type="dxa" w:w="3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 (none — scoped to caller's subsections)</w:t>
            </w:r>
          </w:p>
        </w:tc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pgm_types: [...]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Programmesgrp</w:t>
            </w:r>
          </w:p>
        </w:tc>
        <w:tc>
          <w:tcPr>
            <w:tcW w:type="dxa" w:w="3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 {programme_type_id}</w:t>
            </w:r>
          </w:p>
        </w:tc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pgm_groups: [...]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Programmescls</w:t>
            </w:r>
          </w:p>
        </w:tc>
        <w:tc>
          <w:tcPr>
            <w:tcW w:type="dxa" w:w="3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 {programme_group_id, programme_type_id}</w:t>
            </w:r>
          </w:p>
        </w:tc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pgm_classes: [...]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Programmes</w:t>
            </w:r>
          </w:p>
        </w:tc>
        <w:tc>
          <w:tcPr>
            <w:tcW w:type="dxa" w:w="3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 {programme_group_id, programme_type_id, programme_class_id}</w:t>
            </w:r>
          </w:p>
        </w:tc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programmes: [...]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Schemes</w:t>
            </w:r>
          </w:p>
        </w:tc>
        <w:tc>
          <w:tcPr>
            <w:tcW w:type="dxa" w:w="3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 {programme_id}</w:t>
            </w:r>
          </w:p>
        </w:tc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schemes: [...], semesters: [...]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Examinations</w:t>
            </w:r>
          </w:p>
        </w:tc>
        <w:tc>
          <w:tcPr>
            <w:tcW w:type="dxa" w:w="3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 {programme_id, scheme_id, semester_id}</w:t>
            </w:r>
          </w:p>
        </w:tc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exams: [...]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Courseonline</w:t>
            </w:r>
          </w:p>
        </w:tc>
        <w:tc>
          <w:tcPr>
            <w:tcW w:type="dxa" w:w="3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 {programme_id, scheme_id (unused), semester_id, exam_id (unused)}</w:t>
            </w:r>
          </w:p>
        </w:tc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coursel: [...]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</w:rPr>
        <w:t xml:space="preserve">All seven return status 200 on success, template_name='scrutiny_application_list_online_eva.html' throughout, and follow the same try/except → format_response(False, BAD_GATEWAY, ...) pattern on error.</w:t>
      </w:r>
    </w:p>
    <w:p>
      <w:pPr>
        <w:pBdr>
          <w:left w:val="single" w:color="E8B923" w:sz="12"/>
        </w:pBdr>
        <w:shd w:fill="FFF6DA" w:val="clear"/>
        <w:spacing w:after="200" w:before="80"/>
        <w:ind w:left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Courseonline reads scheme_id and exam_id from request.data but only uses programme_id and semester_id to build the query — the two unused parameters are silently accepted without effect.</w:t>
      </w:r>
    </w:p>
    <w:p>
      <w:pPr>
        <w:pStyle w:val="Heading1"/>
        <w:spacing w:after="120" w:before="240"/>
      </w:pPr>
      <w:r>
        <w:t xml:space="preserve">Group B — Application List &amp; Answersheet View</w:t>
      </w:r>
    </w:p>
    <w:p>
      <w:pPr>
        <w:pStyle w:val="Heading2"/>
        <w:spacing w:after="120" w:before="240"/>
      </w:pPr>
      <w:r>
        <w:t xml:space="preserve">1. CollegeWiseScrutinyApplicationList</w:t>
      </w:r>
    </w:p>
    <w:p>
      <w:pPr>
        <w:spacing w:after="120"/>
      </w:pPr>
      <w:r>
        <w:rPr>
          <w:rFonts w:ascii="Calibri" w:cs="Calibri" w:eastAsia="Calibri" w:hAnsi="Calibri"/>
        </w:rPr>
        <w:t xml:space="preserve">POST — returns the scrutiny applications matching an exam/programme/semester/course combination that have a successful payment (status_id=1).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</w:tblGrid>
      <w:tr>
        <w:trPr>
          <w:tblHeader/>
        </w:trPr>
        <w:tc>
          <w:tcPr>
            <w:tcW w:type="dxa" w:w="3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exam_id, prg, sem, cour</w:t>
            </w:r>
          </w:p>
        </w:tc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</w:rPr>
        <w:t xml:space="preserve">Response: { scrutiny_applications, status: &lt;State id 1's label&gt; } · status 200.</w:t>
      </w:r>
    </w:p>
    <w:p>
      <w:pPr>
        <w:pStyle w:val="Heading2"/>
        <w:spacing w:after="120" w:before="240"/>
      </w:pPr>
      <w:r>
        <w:t xml:space="preserve">2. ScrutinyAnswersheetview</w:t>
      </w:r>
    </w:p>
    <w:p>
      <w:pPr>
        <w:spacing w:after="120"/>
      </w:pPr>
      <w:r>
        <w:rPr>
          <w:rFonts w:ascii="Calibri" w:cs="Calibri" w:eastAsia="Calibri" w:hAnsi="Calibri"/>
        </w:rPr>
        <w:t xml:space="preserve">POST — returns a candidate's scanned answersheet link, decrypted mark, and decrypted structured response (e.g. an OMR/objective answer JSON) for their most recent semester/programme record.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00"/>
      </w:tblGrid>
      <w:tr>
        <w:trPr>
          <w:tblHeader/>
        </w:trPr>
        <w:tc>
          <w:tcPr>
            <w:tcW w:type="dxa" w:w="3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modeid</w:t>
            </w:r>
          </w:p>
        </w:tc>
        <w:tc>
          <w:tcPr>
            <w:tcW w:type="dxa" w:w="4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 — candidate code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prg, sem</w:t>
            </w:r>
          </w:p>
        </w:tc>
        <w:tc>
          <w:tcPr>
            <w:tcW w:type="dxa" w:w="4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</w:rPr>
        <w:t xml:space="preserve">Response: { ansurl, encmark, encresponse, data1, candidate_details } · status 200.</w:t>
      </w:r>
    </w:p>
    <w:p>
      <w:pPr>
        <w:pBdr>
          <w:top w:val="single" w:color="C00000" w:sz="6"/>
          <w:bottom w:val="single" w:color="C00000" w:sz="6"/>
          <w:left w:val="single" w:color="C00000" w:sz="20"/>
          <w:right w:val="single" w:color="C00000" w:sz="6"/>
        </w:pBdr>
        <w:shd w:fill="FDE7E7" w:val="clear"/>
        <w:spacing w:after="200" w:before="100"/>
        <w:ind w:left="120"/>
      </w:pPr>
      <w:r>
        <w:rPr>
          <w:rFonts w:ascii="Calibri" w:cs="Calibri" w:eastAsia="Calibri" w:hAnsi="Calibri"/>
          <w:b/>
          <w:bCs/>
          <w:color w:val="C00000"/>
          <w:sz w:val="20"/>
          <w:szCs w:val="20"/>
        </w:rPr>
        <w:t xml:space="preserve">encmark and encresponse (and, downstream, data and the final response dict) are only assigned inside `if scrutinycourse:`. If the candidate has no matching RevaluationCourse of type '03' for the resolved digital false numbers — a normal, expected case for a candidate who hasn't applied for online-evaluation scrutiny — the if-block never runs, and the unconditional `return format_response(..., data={'ansurl':ans_link,'encmark':encmark,'encresponse':encresponse, ...})` at the end raises NameError (ans_link is set inside the same if-block, so it's affected too). This turns an ordinary "no scrutiny application" case into an unhandled-looking failure rather than a clean empty/negative response.</w:t>
      </w:r>
    </w:p>
    <w:p>
      <w:pPr>
        <w:pBdr>
          <w:left w:val="single" w:color="C00000" w:sz="12"/>
        </w:pBdr>
        <w:shd w:fill="FDE7E7" w:val="clear"/>
        <w:spacing w:after="200" w:before="80"/>
        <w:ind w:left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mark = ScannedAnswersheetMark.objects.filter(exr_as__in=exans_id).first() is dereferenced (mark.mark) with no None-check — if no mark record exists yet, this raises AttributeError before the scrutinycourse-emptiness question even matters.</w:t>
      </w:r>
    </w:p>
    <w:p>
      <w:pPr>
        <w:pBdr>
          <w:left w:val="single" w:color="E8B923" w:sz="12"/>
        </w:pBdr>
        <w:shd w:fill="FFF6DA" w:val="clear"/>
        <w:spacing w:after="200" w:before="80"/>
        <w:ind w:left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mark_decrypt (module-level, defined in this file) duplicates the identically-named function in scrutiny_report.py and the closely related mark_decryption in onscreen_scrutiny.py and scrutiny_management.py.</w:t>
      </w:r>
    </w:p>
    <w:p>
      <w:pPr>
        <w:pStyle w:val="Heading1"/>
        <w:spacing w:after="120" w:before="240"/>
      </w:pPr>
      <w:r>
        <w:t xml:space="preserve">Cross-cutting observations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ScrutinyAnswersheetview's NameError-on-empty-result risk (see above) is the most impactful issue in this file — it affects what should be a routine, expected outcome (candidate has no online-evaluation scrutiny application), not an edge case.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This file explicitly imports Fernet (from cryptography.fernet import Fernet) — unlike onscreen_scrutiny.py, scrutiny_report.py, and scrutiny_management.py, which all use Fernet without an explicit import and presumably rely on a wildcard import to supply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No view in this file sets permission_classes.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20"/>
    </w:pPr>
    <w:rPr>
      <w:rFonts w:ascii="Calibri" w:cs="Calibri" w:eastAsia="Calibri" w:hAnsi="Calibri"/>
      <w:b/>
      <w:bCs/>
      <w:color w:val="2F549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</w:pPr>
    <w:rPr>
      <w:rFonts w:ascii="Calibri" w:cs="Calibri" w:eastAsia="Calibri" w:hAnsi="Calibri"/>
      <w:b/>
      <w:bCs/>
      <w:color w:val="1F3864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2026-08-31T05:47:42.459Z</dcterms:created>
  <dcterms:modified xsi:type="dcterms:W3CDTF">2026-08-31T05:47:42.459Z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