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Scrutiny Revert API</w:t>
      </w:r>
    </w:p>
    <w:p>
      <w:pPr>
        <w:spacing w:after="40"/>
      </w:pPr>
      <w:r>
        <w:rPr>
          <w:rFonts w:ascii="Calibri" w:cs="Calibri" w:eastAsia="Calibri" w:hAnsi="Calibri"/>
          <w:color w:val="595959"/>
          <w:sz w:val="28"/>
          <w:szCs w:val="28"/>
        </w:rPr>
        <w:t xml:space="preserve">scrutiny_revert.py — API Reference</w:t>
      </w:r>
    </w:p>
    <w:p>
      <w:pPr>
        <w:spacing w:after="40"/>
      </w:pPr>
      <w:r>
        <w:rPr>
          <w:rFonts w:ascii="Calibri" w:cs="Calibri" w:eastAsia="Calibri" w:hAnsi="Calibri"/>
          <w:i/>
          <w:iCs/>
          <w:color w:val="808080"/>
          <w:sz w:val="20"/>
          <w:szCs w:val="20"/>
        </w:rPr>
        <w:t xml:space="preserve">Module: lists a student's scrutiny-course records and reverts one or more scrutiny applications, including re-running moderation and result generation for reverted courses.</w:t>
      </w:r>
    </w:p>
    <w:p>
      <w:pPr>
        <w:pBdr>
          <w:bottom w:val="single" w:color="2F5496" w:sz="6"/>
        </w:pBdr>
        <w:spacing w:after="400"/>
      </w:pPr>
      <w:r>
        <w:rPr>
          <w:rFonts w:ascii="Calibri" w:cs="Calibri" w:eastAsia="Calibri" w:hAnsi="Calibri"/>
          <w:color w:val="808080"/>
          <w:sz w:val="20"/>
          <w:szCs w:val="20"/>
        </w:rPr>
        <w:t xml:space="preserve">Base class: rest_framework.views.APIView   ·   No explicit permission_classes set on any view.</w:t>
      </w:r>
    </w:p>
    <w:p>
      <w:pPr>
        <w:pStyle w:val="Heading1"/>
        <w:spacing w:after="120" w:before="240"/>
      </w:pPr>
      <w:r>
        <w:t xml:space="preserve">1. ScrutinyStudRevert</w:t>
      </w:r>
    </w:p>
    <w:p>
      <w:pPr>
        <w:pStyle w:val="Heading2"/>
        <w:spacing w:after="120" w:before="240"/>
      </w:pPr>
      <w:r>
        <w:t xml:space="preserve">GET</w:t>
      </w:r>
    </w:p>
    <w:p>
      <w:pPr>
        <w:spacing w:after="120"/>
      </w:pPr>
      <w:r>
        <w:rPr>
          <w:rFonts w:ascii="Calibri" w:cs="Calibri" w:eastAsia="Calibri" w:hAnsi="Calibri"/>
        </w:rPr>
        <w:t xml:space="preserve">Renders the revert screen shell — status 201 for a pure page-load.</w:t>
      </w:r>
    </w:p>
    <w:p>
      <w:pPr>
        <w:pStyle w:val="Heading2"/>
        <w:spacing w:after="120" w:before="240"/>
      </w:pPr>
      <w:r>
        <w:t xml:space="preserve">POST</w:t>
      </w:r>
    </w:p>
    <w:p>
      <w:pPr>
        <w:spacing w:after="120"/>
      </w:pPr>
      <w:r>
        <w:rPr>
          <w:rFonts w:ascii="Calibri" w:cs="Calibri" w:eastAsia="Calibri" w:hAnsi="Calibri"/>
        </w:rPr>
        <w:t xml:space="preserve">Lists a candidate's non-deleted scrutiny (type-1 revaluation) course records, for the revert selection screen.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exam_id, candidate_code</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Returns a specific 404 if the exam or exam registration isn't found. Response: a list of { course, rev_status, candidate_name, candidate_code, stud_id }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The field named stud_id actually holds i.digital_false_no.id (a DigitalFalseNumber id), not a student id — worth renaming for clarity, since it's used as the identifier passed back into ScrutinyApplicationRevert below (as one of the checkedcandidatevalues[] entries).</w:t>
      </w:r>
    </w:p>
    <w:p>
      <w:pPr>
        <w:pStyle w:val="Heading1"/>
        <w:spacing w:after="120" w:before="240"/>
      </w:pPr>
      <w:r>
        <w:t xml:space="preserve">2. ScrutinyRevertSemFetch</w:t>
      </w:r>
    </w:p>
    <w:p>
      <w:pPr>
        <w:spacing w:after="120"/>
      </w:pPr>
      <w:r>
        <w:rPr>
          <w:rFonts w:ascii="Calibri" w:cs="Calibri" w:eastAsia="Calibri" w:hAnsi="Calibri"/>
        </w:rPr>
        <w:t xml:space="preserve">POST — returns the semester codes a candidate has records in.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candidate_code</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a bare list of semester codes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This class is byte-for-byte identical to SemRevertSemFetch in semreg_revert.py and exam_reg_revert.py — a third independent copy of the same class now exists across the codebase (there under the name SemRevertSemFetch, here as ScrutinyRevertSemFetch).</w:t>
      </w:r>
    </w:p>
    <w:p>
      <w:pPr>
        <w:pStyle w:val="Heading1"/>
        <w:spacing w:after="120" w:before="240"/>
      </w:pPr>
      <w:r>
        <w:t xml:space="preserve">3. ScrutinyRevertExamDetailsFetch</w:t>
      </w:r>
    </w:p>
    <w:p>
      <w:pPr>
        <w:spacing w:after="120"/>
      </w:pPr>
      <w:r>
        <w:rPr>
          <w:rFonts w:ascii="Calibri" w:cs="Calibri" w:eastAsia="Calibri" w:hAnsi="Calibri"/>
        </w:rPr>
        <w:t xml:space="preserve">POST — returns the exams available for a candidate's semester.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candidate_code, semester_code</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exam_title, exam_id },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student_semester = StudentSemester.objects.filter(...).first() is dereferenced (student_semester.exam_details.all()) with no None-check — an unmatched candidate/semester combination raises AttributeError, caught by the outer except.</w:t>
      </w:r>
    </w:p>
    <w:p>
      <w:pPr>
        <w:pStyle w:val="Heading1"/>
        <w:spacing w:after="120" w:before="240"/>
      </w:pPr>
      <w:r>
        <w:t xml:space="preserve">4. ScrutinyApplicationRevert</w:t>
      </w:r>
    </w:p>
    <w:p>
      <w:pPr>
        <w:pStyle w:val="Heading2"/>
        <w:spacing w:after="120" w:before="240"/>
      </w:pPr>
      <w:r>
        <w:t xml:space="preserve">POST — @transaction.atomic</w:t>
      </w:r>
    </w:p>
    <w:p>
      <w:pPr>
        <w:spacing w:after="120"/>
      </w:pPr>
      <w:r>
        <w:rPr>
          <w:rFonts w:ascii="Calibri" w:cs="Calibri" w:eastAsia="Calibri" w:hAnsi="Calibri"/>
        </w:rPr>
        <w:t xml:space="preserve">Reverts one or more scrutiny applications: resets their status, and for any course whose result had already been generated, deletes the previous moderation and regenerates the result via raw stored-procedure calls.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800"/>
      </w:tblGrid>
      <w:tr>
        <w:trPr>
          <w:tblHeader/>
        </w:trPr>
        <w:tc>
          <w:tcPr>
            <w:tcW w:type="dxa" w:w="28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4800"/>
            <w:shd w:fill="2F5496" w:val="clear"/>
          </w:tcPr>
          <w:p>
            <w:r>
              <w:rPr>
                <w:rFonts w:ascii="Calibri" w:cs="Calibri" w:eastAsia="Calibri" w:hAnsi="Calibri"/>
                <w:b/>
                <w:bCs/>
                <w:color w:val="FFFFFF"/>
                <w:sz w:val="20"/>
                <w:szCs w:val="20"/>
              </w:rPr>
              <w:t xml:space="preserve">Notes</w:t>
            </w:r>
          </w:p>
        </w:tc>
      </w:tr>
      <w:tr>
        <w:tc>
          <w:tcPr>
            <w:tcW w:type="dxa" w:w="2800"/>
          </w:tcPr>
          <w:p>
            <w:r>
              <w:rPr>
                <w:rFonts w:ascii="Calibri" w:cs="Calibri" w:eastAsia="Calibri" w:hAnsi="Calibri"/>
                <w:sz w:val="20"/>
                <w:szCs w:val="20"/>
              </w:rPr>
              <w:t xml:space="preserve">candidate_code, exam_id, semester_id</w:t>
            </w:r>
          </w:p>
        </w:tc>
        <w:tc>
          <w:tcPr>
            <w:tcW w:type="dxa" w:w="1600"/>
          </w:tcPr>
          <w:p>
            <w:r>
              <w:rPr>
                <w:rFonts w:ascii="Calibri" w:cs="Calibri" w:eastAsia="Calibri" w:hAnsi="Calibri"/>
                <w:sz w:val="20"/>
                <w:szCs w:val="20"/>
              </w:rPr>
              <w:t xml:space="preserve">Yes</w:t>
            </w:r>
          </w:p>
        </w:tc>
        <w:tc>
          <w:tcPr>
            <w:tcW w:type="dxa" w:w="4800"/>
          </w:tcPr>
          <w:p>
            <w:r>
              <w:rPr>
                <w:rFonts w:ascii="Calibri" w:cs="Calibri" w:eastAsia="Calibri" w:hAnsi="Calibri"/>
                <w:sz w:val="20"/>
                <w:szCs w:val="20"/>
              </w:rPr>
              <w:t xml:space="preserve"/>
            </w:r>
          </w:p>
        </w:tc>
      </w:tr>
      <w:tr>
        <w:tc>
          <w:tcPr>
            <w:tcW w:type="dxa" w:w="2800"/>
          </w:tcPr>
          <w:p>
            <w:r>
              <w:rPr>
                <w:rFonts w:ascii="Calibri" w:cs="Calibri" w:eastAsia="Calibri" w:hAnsi="Calibri"/>
                <w:sz w:val="20"/>
                <w:szCs w:val="20"/>
              </w:rPr>
              <w:t xml:space="preserve">_revert_all</w:t>
            </w:r>
          </w:p>
        </w:tc>
        <w:tc>
          <w:tcPr>
            <w:tcW w:type="dxa" w:w="1600"/>
          </w:tcPr>
          <w:p>
            <w:r>
              <w:rPr>
                <w:rFonts w:ascii="Calibri" w:cs="Calibri" w:eastAsia="Calibri" w:hAnsi="Calibri"/>
                <w:sz w:val="20"/>
                <w:szCs w:val="20"/>
              </w:rPr>
              <w:t xml:space="preserve">Yes</w:t>
            </w:r>
          </w:p>
        </w:tc>
        <w:tc>
          <w:tcPr>
            <w:tcW w:type="dxa" w:w="4800"/>
          </w:tcPr>
          <w:p>
            <w:r>
              <w:rPr>
                <w:rFonts w:ascii="Calibri" w:cs="Calibri" w:eastAsia="Calibri" w:hAnsi="Calibri"/>
                <w:sz w:val="20"/>
                <w:szCs w:val="20"/>
              </w:rPr>
              <w:t xml:space="preserve">'1' to also revert the whole RevaluationApplication, not just individual courses</w:t>
            </w:r>
          </w:p>
        </w:tc>
      </w:tr>
      <w:tr>
        <w:tc>
          <w:tcPr>
            <w:tcW w:type="dxa" w:w="2800"/>
          </w:tcPr>
          <w:p>
            <w:r>
              <w:rPr>
                <w:rFonts w:ascii="Calibri" w:cs="Calibri" w:eastAsia="Calibri" w:hAnsi="Calibri"/>
                <w:sz w:val="20"/>
                <w:szCs w:val="20"/>
              </w:rPr>
              <w:t xml:space="preserve">checkedcandidatevalues[]</w:t>
            </w:r>
          </w:p>
        </w:tc>
        <w:tc>
          <w:tcPr>
            <w:tcW w:type="dxa" w:w="1600"/>
          </w:tcPr>
          <w:p>
            <w:r>
              <w:rPr>
                <w:rFonts w:ascii="Calibri" w:cs="Calibri" w:eastAsia="Calibri" w:hAnsi="Calibri"/>
                <w:sz w:val="20"/>
                <w:szCs w:val="20"/>
              </w:rPr>
              <w:t xml:space="preserve">Yes</w:t>
            </w:r>
          </w:p>
        </w:tc>
        <w:tc>
          <w:tcPr>
            <w:tcW w:type="dxa" w:w="4800"/>
          </w:tcPr>
          <w:p>
            <w:r>
              <w:rPr>
                <w:rFonts w:ascii="Calibri" w:cs="Calibri" w:eastAsia="Calibri" w:hAnsi="Calibri"/>
                <w:sz w:val="20"/>
                <w:szCs w:val="20"/>
              </w:rPr>
              <w:t xml:space="preserve">List of DigitalFalseNumber ids to revert (read via request.POST, not request.data)</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If _revert_all == '1': resolves the candidate's RevaluationApplication for the given programme/semester/exam and, if found, marks it (and its payment status, if in a success-like state) as SCRUTINY_REVERT.</w:t>
      </w:r>
    </w:p>
    <w:p>
      <w:pPr>
        <w:pStyle w:val="ListParagraph"/>
        <w:numPr>
          <w:ilvl w:val="0"/>
          <w:numId w:val="2"/>
        </w:numPr>
        <w:spacing w:after="80"/>
      </w:pPr>
      <w:r>
        <w:rPr>
          <w:rFonts w:ascii="Calibri" w:cs="Calibri" w:eastAsia="Calibri" w:hAnsi="Calibri"/>
        </w:rPr>
        <w:t xml:space="preserve">For each digital false number id in checkedcandidatevalues[]: marks the corresponding ScrutinyMark and ScrutinyLevelWiseMark rows as SCRUTINY_REVERT.</w:t>
      </w:r>
    </w:p>
    <w:p>
      <w:pPr>
        <w:pStyle w:val="ListParagraph"/>
        <w:numPr>
          <w:ilvl w:val="0"/>
          <w:numId w:val="2"/>
        </w:numPr>
        <w:spacing w:after="80"/>
      </w:pPr>
      <w:r>
        <w:rPr>
          <w:rFonts w:ascii="Calibri" w:cs="Calibri" w:eastAsia="Calibri" w:hAnsi="Calibri"/>
        </w:rPr>
        <w:t xml:space="preserve">Finds the matching RevaluationCourse: if its status was RESULT_GENERATED, marks it reverted and then deletes the previous moderation, re-applies moderation, and regenerates the result — each via a raw psycopg2 connection calling a Postgres stored procedure. Otherwise, simply marks it reverted with no further downstream recalculation.</w:t>
      </w:r>
    </w:p>
    <w:p>
      <w:pPr>
        <w:spacing w:after="120"/>
      </w:pPr>
      <w:r>
        <w:rPr>
          <w:rFonts w:ascii="Calibri" w:cs="Calibri" w:eastAsia="Calibri" w:hAnsi="Calibri"/>
        </w:rPr>
        <w:t xml:space="preserve">Response: status 201 with a plain success string on completion.</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The three stored-procedure calls (moderation_delete_proc, moderation_effect_proc, result_generate_proc) each open their own psycopg2.connect(**params) connection, execute, and conn.commit() immediately — separately from Django's own database connection and outside the scope of the surrounding @transaction.atomic decorator. @transaction.atomic only guarantees atomicity for ORM operations on Django's default connection; these raw psycopg2 calls commit independently and immediately. If a LATER step in the same request fails (e.g. the result-generation call, or a subsequent candidate in the loop), Django will roll back the ORM changes (status updates on ScrutinyMark/RevaluationCourse/etc.), but the already-committed moderation-delete and moderation-apply stored procedure calls will NOT be rolled back — leaving the database in a partially-reverted, inconsistent state that the @transaction.atomic decorator's presence would normally lead a reader to assume can't happen.</w:t>
      </w:r>
    </w:p>
    <w:p>
      <w:pPr>
        <w:pBdr>
          <w:left w:val="single" w:color="C00000" w:sz="12"/>
        </w:pBdr>
        <w:shd w:fill="FDE7E7" w:val="clear"/>
        <w:spacing w:after="200" w:before="80"/>
        <w:ind w:left="120"/>
      </w:pPr>
      <w:r>
        <w:rPr>
          <w:rFonts w:ascii="Calibri" w:cs="Calibri" w:eastAsia="Calibri" w:hAnsi="Calibri"/>
          <w:i/>
          <w:iCs/>
          <w:sz w:val="20"/>
          <w:szCs w:val="20"/>
        </w:rPr>
        <w:t xml:space="preserve">None of the three psycopg2 connections are wrapped in their own try/except or a finally: conn.close() — if cur.execute(...) raises (e.g. the stored procedure itself errors), the connection is never explicitly closed, leaking a raw database connection outside Django's connection pool on top of the outer exception being caught generically.</w:t>
      </w:r>
    </w:p>
    <w:p>
      <w:pPr>
        <w:pBdr>
          <w:left w:val="single" w:color="E8B923" w:sz="12"/>
        </w:pBdr>
        <w:shd w:fill="FFF6DA" w:val="clear"/>
        <w:spacing w:after="200" w:before="80"/>
        <w:ind w:left="120"/>
      </w:pPr>
      <w:r>
        <w:rPr>
          <w:rFonts w:ascii="Calibri" w:cs="Calibri" w:eastAsia="Calibri" w:hAnsi="Calibri"/>
          <w:i/>
          <w:iCs/>
          <w:sz w:val="20"/>
          <w:szCs w:val="20"/>
        </w:rPr>
        <w:t xml:space="preserve">params = config_uat2() — the function name (imported from tabulation.moderation) contains "uat", suggesting these database connection parameters might be tied to a specific environment (User Acceptance Testing) rather than resolving dynamically to wherever this code is actually deployed. Worth confirming this resolves correctly in production, since the name alone is easy to misread as env-specific.</w:t>
      </w:r>
    </w:p>
    <w:p>
      <w:pPr>
        <w:pBdr>
          <w:left w:val="single" w:color="E8B923" w:sz="12"/>
        </w:pBdr>
        <w:shd w:fill="FFF6DA" w:val="clear"/>
        <w:spacing w:after="200" w:before="80"/>
        <w:ind w:left="120"/>
      </w:pPr>
      <w:r>
        <w:rPr>
          <w:rFonts w:ascii="Calibri" w:cs="Calibri" w:eastAsia="Calibri" w:hAnsi="Calibri"/>
          <w:i/>
          <w:iCs/>
          <w:sz w:val="20"/>
          <w:szCs w:val="20"/>
        </w:rPr>
        <w:t xml:space="preserve">checkedcandidatevalues[] is read via request.POST.getlist(...) while every other field in this same view is read via request.data.get(...) — request.POST only populates for traditional form-encoded submissions, not JSON bodies; if the frontend sends this as JSON, checkedcandidatevalues would always come back empty regardless of what was actually submitted.</w:t>
      </w:r>
    </w:p>
    <w:p>
      <w:pPr>
        <w:pBdr>
          <w:left w:val="single" w:color="E8B923" w:sz="12"/>
        </w:pBdr>
        <w:shd w:fill="FFF6DA" w:val="clear"/>
        <w:spacing w:after="200" w:before="80"/>
        <w:ind w:left="120"/>
      </w:pPr>
      <w:r>
        <w:rPr>
          <w:rFonts w:ascii="Calibri" w:cs="Calibri" w:eastAsia="Calibri" w:hAnsi="Calibri"/>
          <w:i/>
          <w:iCs/>
          <w:sz w:val="20"/>
          <w:szCs w:val="20"/>
        </w:rPr>
        <w:t xml:space="preserve">print() is used for status messages ("Moderation deleted successfully.", "Moderation applied successfully:", "Result generated successfully:") instead of logger — these won't appear in the application's normal logs.</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The transaction-safety gap around the three raw psycopg2 stored-procedure calls (see above) is the most significant issue in this file — worth checking whether the stored procedures could instead be called via Django's own connection (django.db.connection.cursor()) so they participate in the same transaction and rollback behavior as everything else in the method.</w:t>
      </w:r>
    </w:p>
    <w:p>
      <w:pPr>
        <w:pStyle w:val="ListParagraph"/>
        <w:numPr>
          <w:ilvl w:val="0"/>
          <w:numId w:val="3"/>
        </w:numPr>
        <w:spacing w:after="80"/>
      </w:pPr>
      <w:r>
        <w:rPr>
          <w:rFonts w:ascii="Calibri" w:cs="Calibri" w:eastAsia="Calibri" w:hAnsi="Calibri"/>
        </w:rPr>
        <w:t xml:space="preserve">The request.POST vs request.data inconsistency for checkedcandidatevalues[] is worth verifying against how the frontend actually submits this form.</w:t>
      </w:r>
    </w:p>
    <w:p>
      <w:pPr>
        <w:pStyle w:val="ListParagraph"/>
        <w:numPr>
          <w:ilvl w:val="0"/>
          <w:numId w:val="3"/>
        </w:numPr>
        <w:spacing w:after="80"/>
      </w:pPr>
      <w:r>
        <w:rPr>
          <w:rFonts w:ascii="Calibri" w:cs="Calibri" w:eastAsia="Calibri" w:hAnsi="Calibri"/>
        </w:rPr>
        <w:t xml:space="preserve">No view in this file sets permission_classes, and this endpoint can trigger moderation deletion and result regeneration — a fairly consequential academic-records action — from a candidate code and a list of ids with no visible ownership/authorization check beyond the project default.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2026-08-31T05:47:42.772Z</dcterms:created>
  <dcterms:modified xsi:type="dcterms:W3CDTF">2026-08-31T05:47:42.772Z</dcterms:modified>
</cp:coreProperties>
</file>

<file path=docProps/custom.xml><?xml version="1.0" encoding="utf-8"?>
<Properties xmlns="http://schemas.openxmlformats.org/officeDocument/2006/custom-properties" xmlns:vt="http://schemas.openxmlformats.org/officeDocument/2006/docPropsVTypes"/>
</file>