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swersheet_allocate.py-overview"/>
    <w:p>
      <w:pPr>
        <w:pStyle w:val="Heading1"/>
      </w:pPr>
      <w:r>
        <w:t xml:space="preserve">answersheet_allocate.py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(1,045</w:t>
      </w:r>
      <w:r>
        <w:t xml:space="preserve"> </w:t>
      </w:r>
      <w:r>
        <w:t xml:space="preserve">lines, 9 classes)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Xfde667a0c29106e49065eba182138387aa99ce0"/>
    <w:p>
      <w:pPr>
        <w:pStyle w:val="Heading2"/>
      </w:pPr>
      <w:r>
        <w:t xml:space="preserve">What this source file is for, and how to read it</w:t>
      </w:r>
    </w:p>
    <w:p>
      <w:pPr>
        <w:pStyle w:val="FirstParagraph"/>
      </w:pPr>
      <w:r>
        <w:t xml:space="preserve">This is the examiner-side</w:t>
      </w:r>
      <w:r>
        <w:t xml:space="preserve"> </w:t>
      </w:r>
      <w:r>
        <w:t xml:space="preserve">“</w:t>
      </w:r>
      <w:r>
        <w:t xml:space="preserve">my assigned answer sheets</w:t>
      </w:r>
      <w:r>
        <w:t xml:space="preserve">”</w:t>
      </w:r>
      <w:r>
        <w:t xml:space="preserve"> </w:t>
      </w:r>
      <w:r>
        <w:t xml:space="preserve">flow — the</w:t>
      </w:r>
      <w:r>
        <w:t xml:space="preserve"> </w:t>
      </w:r>
      <w:r>
        <w:t xml:space="preserve">screens an Additional or Chief Examiner actually works from day to</w:t>
      </w:r>
      <w:r>
        <w:t xml:space="preserve"> </w:t>
      </w:r>
      <w:r>
        <w:t xml:space="preserve">day. It’s built as a five-step drill-down that narrows down to the</w:t>
      </w:r>
      <w:r>
        <w:t xml:space="preserve"> </w:t>
      </w:r>
      <w:r>
        <w:t xml:space="preserve">actual sheets to mark, plus the</w:t>
      </w:r>
      <w:r>
        <w:t xml:space="preserve"> </w:t>
      </w:r>
      <w:r>
        <w:t xml:space="preserve">“</w:t>
      </w:r>
      <w:r>
        <w:t xml:space="preserve">I’m finished, hand this bundle</w:t>
      </w:r>
      <w:r>
        <w:t xml:space="preserve"> </w:t>
      </w:r>
      <w:r>
        <w:t xml:space="preserve">onward</w:t>
      </w:r>
      <w:r>
        <w:t xml:space="preserve">”</w:t>
      </w:r>
      <w:r>
        <w:t xml:space="preserve"> </w:t>
      </w:r>
      <w:r>
        <w:t xml:space="preserve">actions for both examiner levels, and a parallel version of</w:t>
      </w:r>
      <w:r>
        <w:t xml:space="preserve"> </w:t>
      </w:r>
      <w:r>
        <w:t xml:space="preserve">the whole flow for revaluation.</w:t>
      </w:r>
    </w:p>
    <w:p>
      <w:pPr>
        <w:pStyle w:val="BodyText"/>
      </w:pPr>
      <w:r>
        <w:t xml:space="preserve">Read the classes in this order to follow the examiner’s actual</w:t>
      </w:r>
      <w:r>
        <w:t xml:space="preserve"> </w:t>
      </w:r>
      <w:r>
        <w:t xml:space="preserve">journey through the screens: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ExaminerProgram</w:t>
      </w:r>
      <w:r>
        <w:t xml:space="preserve"> </w:t>
      </w:r>
      <w:r>
        <w:t xml:space="preserve">— pick a programme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ExaminerCamp</w:t>
      </w:r>
      <w:r>
        <w:t xml:space="preserve"> </w:t>
      </w:r>
      <w:r>
        <w:t xml:space="preserve">— pick a camp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ExaminerCourse</w:t>
      </w:r>
      <w:r>
        <w:t xml:space="preserve"> </w:t>
      </w:r>
      <w:r>
        <w:t xml:space="preserve">— pick a course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Examinerqpcode</w:t>
      </w:r>
      <w:r>
        <w:t xml:space="preserve"> </w:t>
      </w:r>
      <w:r>
        <w:t xml:space="preserve">— pick a QP code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Submitanswersheet</w:t>
      </w:r>
      <w:r>
        <w:t xml:space="preserve"> </w:t>
      </w:r>
      <w:r>
        <w:t xml:space="preserve">— see the actual assigned sheets and</w:t>
      </w:r>
      <w:r>
        <w:t xml:space="preserve"> </w:t>
      </w:r>
      <w:r>
        <w:t xml:space="preserve">progress counts — the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screen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BundleReturn</w:t>
      </w:r>
      <w:r>
        <w:t xml:space="preserve"> </w:t>
      </w:r>
      <w:r>
        <w:t xml:space="preserve">— the Additional Examiner’s</w:t>
      </w:r>
      <w:r>
        <w:t xml:space="preserve"> </w:t>
      </w:r>
      <w:r>
        <w:t xml:space="preserve">“</w:t>
      </w:r>
      <w:r>
        <w:t xml:space="preserve">I’m done, hand</w:t>
      </w:r>
      <w:r>
        <w:t xml:space="preserve"> </w:t>
      </w:r>
      <w:r>
        <w:t xml:space="preserve">this to the Chief</w:t>
      </w:r>
      <w:r>
        <w:t xml:space="preserve">”</w:t>
      </w:r>
      <w:r>
        <w:t xml:space="preserve"> </w:t>
      </w:r>
      <w:r>
        <w:t xml:space="preserve">action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ChiefBundleReturn</w:t>
      </w:r>
      <w:r>
        <w:t xml:space="preserve"> </w:t>
      </w:r>
      <w:r>
        <w:t xml:space="preserve">— the Chief Examiner’s own</w:t>
      </w:r>
      <w:r>
        <w:t xml:space="preserve"> </w:t>
      </w:r>
      <w:r>
        <w:t xml:space="preserve">“</w:t>
      </w:r>
      <w:r>
        <w:t xml:space="preserve">I’ve reviewed</w:t>
      </w:r>
      <w:r>
        <w:t xml:space="preserve"> </w:t>
      </w:r>
      <w:r>
        <w:t xml:space="preserve">enough, mark this fully evaluated</w:t>
      </w:r>
      <w:r>
        <w:t xml:space="preserve">”</w:t>
      </w:r>
      <w:r>
        <w:t xml:space="preserve"> </w:t>
      </w:r>
      <w:r>
        <w:t xml:space="preserve">action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RevaluationExaminerProgram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RevaluationAnswersheetSubmit</w:t>
      </w:r>
      <w:r>
        <w:t xml:space="preserve"> </w:t>
      </w:r>
      <w:r>
        <w:t xml:space="preserve">— the same programme-pick and working-screen steps, but for the</w:t>
      </w:r>
      <w:r>
        <w:t xml:space="preserve"> </w:t>
      </w:r>
      <w:r>
        <w:t xml:space="preserve">revaluation flow</w:t>
      </w:r>
    </w:p>
    <w:bookmarkEnd w:id="20"/>
    <w:bookmarkStart w:id="21" w:name="Xa02f50753f146dc60f80ac5f859f639e197b57d"/>
    <w:p>
      <w:pPr>
        <w:pStyle w:val="Heading2"/>
      </w:pPr>
      <w:r>
        <w:t xml:space="preserve">The most important thing to know about this file</w:t>
      </w:r>
    </w:p>
    <w:p>
      <w:pPr>
        <w:pStyle w:val="FirstParagraph"/>
      </w:pPr>
      <w:r>
        <w:rPr>
          <w:rStyle w:val="VerbatimChar"/>
          <w:bCs/>
          <w:b/>
        </w:rPr>
        <w:t xml:space="preserve">BundleReturn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ChiefBundleReturn</w:t>
      </w:r>
      <w:r>
        <w:rPr>
          <w:bCs/>
          <w:b/>
        </w:rPr>
        <w:t xml:space="preserve"> </w:t>
      </w:r>
      <w:r>
        <w:rPr>
          <w:bCs/>
          <w:b/>
        </w:rPr>
        <w:t xml:space="preserve">are the two write-heavy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finish this bundle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actions, and both are missing standard</w:t>
      </w:r>
      <w:r>
        <w:rPr>
          <w:bCs/>
          <w:b/>
        </w:rPr>
        <w:t xml:space="preserve"> </w:t>
      </w:r>
      <w:r>
        <w:rPr>
          <w:bCs/>
          <w:b/>
        </w:rPr>
        <w:t xml:space="preserve">safeguards found everywhere else in this module:</w:t>
      </w:r>
      <w:r>
        <w:t xml:space="preserve"> </w:t>
      </w:r>
      <w:r>
        <w:t xml:space="preserve">neither has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around its logic, and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 </w:t>
      </w:r>
      <w:r>
        <w:t xml:space="preserve">additionally has</w:t>
      </w:r>
      <w:r>
        <w:t xml:space="preserve"> </w:t>
      </w:r>
      <w:r>
        <w:t xml:space="preserve">no database transaction around its several related updates. See each</w:t>
      </w:r>
      <w:r>
        <w:t xml:space="preserve"> </w:t>
      </w:r>
      <w:r>
        <w:t xml:space="preserve">class’s own document for the full detail —</w:t>
      </w:r>
      <w:r>
        <w:t xml:space="preserve"> </w:t>
      </w:r>
      <w:r>
        <w:rPr>
          <w:rStyle w:val="VerbatimChar"/>
        </w:rPr>
        <w:t xml:space="preserve">BundleReturn.docx</w:t>
      </w:r>
      <w:r>
        <w:t xml:space="preserve"> </w:t>
      </w:r>
      <w:r>
        <w:t xml:space="preserve">in</w:t>
      </w:r>
      <w:r>
        <w:t xml:space="preserve"> </w:t>
      </w:r>
      <w:r>
        <w:t xml:space="preserve">particular walks through a genuinely complex, multi-step hand-off</w:t>
      </w:r>
      <w:r>
        <w:t xml:space="preserve"> </w:t>
      </w:r>
      <w:r>
        <w:t xml:space="preserve">process to the Chief Examiner that’s worth understanding in full</w:t>
      </w:r>
      <w:r>
        <w:t xml:space="preserve"> </w:t>
      </w:r>
      <w:r>
        <w:t xml:space="preserve">before relying on it.</w:t>
      </w:r>
    </w:p>
    <w:bookmarkEnd w:id="21"/>
    <w:bookmarkStart w:id="22" w:name="other-things-worth-knowing"/>
    <w:p>
      <w:pPr>
        <w:pStyle w:val="Heading2"/>
      </w:pPr>
      <w:r>
        <w:t xml:space="preserve">Other things worth knowing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Steps 1–4 and 5 of the normal flow are each duplicated almost</w:t>
      </w:r>
      <w:r>
        <w:rPr>
          <w:bCs/>
          <w:b/>
        </w:rPr>
        <w:t xml:space="preserve"> </w:t>
      </w:r>
      <w:r>
        <w:rPr>
          <w:bCs/>
          <w:b/>
        </w:rPr>
        <w:t xml:space="preserve">exactly for the revaluation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ExaminerProgram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RevaluationExaminerProgram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RevaluationAnswersheetSubmit</w:t>
      </w:r>
      <w:r>
        <w:t xml:space="preserve">) rather than sharing logic — a fix</w:t>
      </w:r>
      <w:r>
        <w:t xml:space="preserve"> </w:t>
      </w:r>
      <w:r>
        <w:t xml:space="preserve">made to one side needs to be separately applied to the 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of the four drill-down steps read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pgm</w:t>
      </w:r>
      <w:r>
        <w:rPr>
          <w:bCs/>
          <w:b/>
        </w:rPr>
        <w:t xml:space="preserve"> </w:t>
      </w:r>
      <w:r>
        <w:rPr>
          <w:bCs/>
          <w:b/>
        </w:rPr>
        <w:t xml:space="preserve">parameter but never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use it to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Examinerqpcode</w:t>
      </w:r>
      <w:r>
        <w:t xml:space="preserve">) —</w:t>
      </w:r>
      <w:r>
        <w:t xml:space="preserve"> </w:t>
      </w:r>
      <w:r>
        <w:t xml:space="preserve">worth knowing since the parameter name suggests it should narrow</w:t>
      </w:r>
      <w:r>
        <w:t xml:space="preserve"> </w:t>
      </w:r>
      <w:r>
        <w:t xml:space="preserve">the results, but it currently doesn’t.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mark encryption/decryption/rounding helpers at the top of this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round_off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mark_encrpt</w:t>
      </w:r>
      <w:r>
        <w:t xml:space="preserve">) are the same</w:t>
      </w:r>
      <w:r>
        <w:t xml:space="preserve"> </w:t>
      </w:r>
      <w:r>
        <w:t xml:space="preserve">ones independently re-implemented in several other files across</w:t>
      </w:r>
      <w:r>
        <w:t xml:space="preserve"> </w:t>
      </w:r>
      <w:r>
        <w:t xml:space="preserve">this module (</w:t>
      </w:r>
      <w:r>
        <w:rPr>
          <w:rStyle w:val="VerbatimChar"/>
        </w:rPr>
        <w:t xml:space="preserve">online_cheif_evaluate.py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) — see those files’</w:t>
      </w:r>
      <w:r>
        <w:t xml:space="preserve"> </w:t>
      </w:r>
      <w:r>
        <w:t xml:space="preserve">own documentation for more on this pattern.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