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smpl"/>
    <w:p>
      <w:pPr>
        <w:pStyle w:val="Heading1"/>
      </w:pPr>
      <w:r>
        <w:t xml:space="preserve">Smpl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online_evaluation/markentry.py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Smpl</w:t>
      </w:r>
      <w:r>
        <w:t xml:space="preserve">) URL</w:t>
      </w:r>
      <w:r>
        <w:t xml:space="preserve"> </w:t>
      </w:r>
      <w:r>
        <w:t xml:space="preserve">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Smpl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Returns the list of SMP (suspected malpractice) reasons, for</w:t>
      </w:r>
      <w:r>
        <w:t xml:space="preserve"> </w:t>
      </w:r>
      <w:r>
        <w:t xml:space="preserve">populating a dropdown on the mark-entry screen when an examiner flags</w:t>
      </w:r>
      <w:r>
        <w:t xml:space="preserve"> </w:t>
      </w:r>
      <w:r>
        <w:t xml:space="preserve">a sheet.</w:t>
      </w:r>
    </w:p>
    <w:bookmarkEnd w:id="20"/>
    <w:bookmarkStart w:id="21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Query</w:t>
      </w:r>
      <w:r>
        <w:t xml:space="preserve"> </w:t>
      </w:r>
      <w:r>
        <w:rPr>
          <w:rStyle w:val="VerbatimChar"/>
        </w:rPr>
        <w:t xml:space="preserve">SmpReasonMaster</w:t>
      </w:r>
      <w:r>
        <w:t xml:space="preserve"> </w:t>
      </w:r>
      <w:r>
        <w:t xml:space="preserve">for every row.</w:t>
      </w:r>
    </w:p>
    <w:p>
      <w:pPr>
        <w:numPr>
          <w:ilvl w:val="0"/>
          <w:numId w:val="1001"/>
        </w:numPr>
        <w:pStyle w:val="Compact"/>
      </w:pPr>
      <w:r>
        <w:t xml:space="preserve">Serialize and return the list.</w:t>
      </w:r>
    </w:p>
    <w:bookmarkEnd w:id="21"/>
    <w:bookmarkStart w:id="22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{"smpl": [{"name": "Impersonation"}, {"name": "Unfair copying"}]}, "status_code": 201}</w:t>
      </w:r>
    </w:p>
    <w:bookmarkEnd w:id="22"/>
    <w:bookmarkStart w:id="23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try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except</w:t>
      </w:r>
      <w:r>
        <w:rPr>
          <w:bCs/>
          <w:b/>
        </w:rPr>
        <w:t xml:space="preserve"> </w:t>
      </w:r>
      <w:r>
        <w:rPr>
          <w:bCs/>
          <w:b/>
        </w:rPr>
        <w:t xml:space="preserve">around this method at all</w:t>
      </w:r>
      <w:r>
        <w:t xml:space="preserve"> </w:t>
      </w:r>
      <w:r>
        <w:t xml:space="preserve">— the same gap found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ChiefBundleReturn</w:t>
      </w:r>
      <w:r>
        <w:t xml:space="preserve">.</w:t>
      </w:r>
      <w:r>
        <w:t xml:space="preserve"> </w:t>
      </w:r>
      <w:r>
        <w:t xml:space="preserve">Given how simple this endpoint’s query is, the practical risk is low,</w:t>
      </w:r>
      <w:r>
        <w:t xml:space="preserve"> </w:t>
      </w:r>
      <w:r>
        <w:t xml:space="preserve">but any database error here would surface as a raw, unhandled</w:t>
      </w:r>
      <w:r>
        <w:t xml:space="preserve"> </w:t>
      </w:r>
      <w:r>
        <w:t xml:space="preserve">exception rather than this module’s usual JSON error response.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2026-08-28T05:45:56Z</dcterms:created>
  <dcterms:modified xsi:type="dcterms:W3CDTF">2026-08-28T05:45:56Z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