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online_chief_evl"/>
    <w:p>
      <w:pPr>
        <w:pStyle w:val="Heading1"/>
      </w:pPr>
      <w:r>
        <w:t xml:space="preserve">Online_Chief_Evl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online_evaluation/online_cheif_evaluate.py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Online_Chief_Evl</w:t>
      </w:r>
      <w:r>
        <w:t xml:space="preserve">) URL mapping:</w:t>
      </w:r>
      <w:r>
        <w:t xml:space="preserve"> </w:t>
      </w:r>
      <w:r>
        <w:rPr>
          <w:rStyle w:val="VerbatimChar"/>
        </w:rPr>
        <w:t xml:space="preserve">online_evaluation/urls.py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Online_Chief_Evl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  <w:r>
              <w:t xml:space="preserve"> </w:t>
            </w:r>
            <w:r>
              <w:t xml:space="preserve">(programme list) /</w:t>
            </w:r>
            <w:r>
              <w:t xml:space="preserve"> </w:t>
            </w:r>
            <w:r>
              <w:rPr>
                <w:rStyle w:val="VerbatimChar"/>
              </w:rPr>
              <w:t xml:space="preserve">POST</w:t>
            </w:r>
            <w:r>
              <w:t xml:space="preserve"> </w:t>
            </w:r>
            <w:r>
              <w:t xml:space="preserve">(additional examiners for a</w:t>
            </w:r>
            <w:r>
              <w:t xml:space="preserve"> </w:t>
            </w:r>
            <w:r>
              <w:t xml:space="preserve">camp+course)</w:t>
            </w:r>
            <w:r>
              <w:t xml:space="preserve"> </w:t>
            </w:r>
            <w:r>
              <w:rPr>
                <w:rStyle w:val="VerbatimChar"/>
              </w:rPr>
              <w:t xml:space="preserve">Online_Chief_Evl</w:t>
            </w:r>
          </w:p>
        </w:tc>
      </w:tr>
    </w:tbl>
    <w:p>
      <w:pPr>
        <w:pStyle w:val="BodyText"/>
      </w:pPr>
      <w:r>
        <w:rPr>
          <w:iCs/>
          <w:i/>
        </w:rPr>
        <w:t xml:space="preserve">(Filename note: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cheif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is a typo for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chief</w:t>
      </w:r>
      <w:r>
        <w:rPr>
          <w:iCs/>
          <w:i/>
        </w:rPr>
        <w:t xml:space="preserve">”</w:t>
      </w:r>
      <w:r>
        <w:rPr>
          <w:iCs/>
          <w:i/>
        </w:rPr>
        <w:t xml:space="preserve"> </w:t>
      </w:r>
      <w:r>
        <w:rPr>
          <w:iCs/>
          <w:i/>
        </w:rPr>
        <w:t xml:space="preserve">in the actual source</w:t>
      </w:r>
      <w:r>
        <w:rPr>
          <w:iCs/>
          <w:i/>
        </w:rPr>
        <w:t xml:space="preserve"> </w:t>
      </w:r>
      <w:r>
        <w:rPr>
          <w:iCs/>
          <w:i/>
        </w:rPr>
        <w:t xml:space="preserve">filename — reproduced here for accuracy.)</w:t>
      </w:r>
    </w:p>
    <w:bookmarkStart w:id="20" w:name="what-this-api-is-for"/>
    <w:p>
      <w:pPr>
        <w:pStyle w:val="Heading2"/>
      </w:pPr>
      <w:r>
        <w:t xml:space="preserve">What this API is for</w:t>
      </w:r>
    </w:p>
    <w:p>
      <w:pPr>
        <w:pStyle w:val="FirstParagraph"/>
      </w:pPr>
      <w:r>
        <w:t xml:space="preserve">The first screen a Chief Examiner sees: pick a programme they have</w:t>
      </w:r>
      <w:r>
        <w:t xml:space="preserve"> </w:t>
      </w:r>
      <w:r>
        <w:t xml:space="preserve">chief duty on, then pick a camp and course, and see every Additional</w:t>
      </w:r>
      <w:r>
        <w:t xml:space="preserve"> </w:t>
      </w:r>
      <w:r>
        <w:t xml:space="preserve">Examiner reporting to them — with a quick look at whether each one’s</w:t>
      </w:r>
      <w:r>
        <w:t xml:space="preserve"> </w:t>
      </w:r>
      <w:r>
        <w:t xml:space="preserve">bundle has already been returned.</w:t>
      </w:r>
    </w:p>
    <w:bookmarkEnd w:id="20"/>
    <w:bookmarkStart w:id="21" w:name="request-get"/>
    <w:p>
      <w:pPr>
        <w:pStyle w:val="Heading2"/>
      </w:pPr>
      <w:r>
        <w:t xml:space="preserve">Request — GET</w:t>
      </w:r>
    </w:p>
    <w:p>
      <w:pPr>
        <w:pStyle w:val="FirstParagraph"/>
      </w:pPr>
      <w:r>
        <w:t xml:space="preserve">No parameters — lists programmes based on the logged-in user’s active</w:t>
      </w:r>
      <w:r>
        <w:t xml:space="preserve"> </w:t>
      </w:r>
      <w:r>
        <w:t xml:space="preserve">Additional/Chief Examiner camp allocations.</w:t>
      </w:r>
    </w:p>
    <w:bookmarkEnd w:id="21"/>
    <w:bookmarkStart w:id="22" w:name="request-post"/>
    <w:p>
      <w:pPr>
        <w:pStyle w:val="Heading2"/>
      </w:pPr>
      <w:r>
        <w:t xml:space="preserve">Request — POST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course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camp id</w:t>
            </w:r>
          </w:p>
        </w:tc>
      </w:tr>
    </w:tbl>
    <w:bookmarkEnd w:id="22"/>
    <w:bookmarkStart w:id="23" w:name="how-it-works-step-by-step-post"/>
    <w:p>
      <w:pPr>
        <w:pStyle w:val="Heading2"/>
      </w:pPr>
      <w:r>
        <w:t xml:space="preserve">How it works — step by step (POST)</w:t>
      </w:r>
    </w:p>
    <w:p>
      <w:pPr>
        <w:numPr>
          <w:ilvl w:val="0"/>
          <w:numId w:val="1001"/>
        </w:numPr>
        <w:pStyle w:val="Compact"/>
      </w:pPr>
      <w:r>
        <w:t xml:space="preserve">Find the</w:t>
      </w:r>
      <w:r>
        <w:t xml:space="preserve"> </w:t>
      </w:r>
      <w:r>
        <w:rPr>
          <w:rStyle w:val="VerbatimChar"/>
        </w:rPr>
        <w:t xml:space="preserve">CampScheduleCourse</w:t>
      </w:r>
      <w:r>
        <w:t xml:space="preserve"> </w:t>
      </w:r>
      <w:r>
        <w:t xml:space="preserve">records matching this camp and</w:t>
      </w:r>
      <w:r>
        <w:t xml:space="preserve"> </w:t>
      </w:r>
      <w:r>
        <w:t xml:space="preserve">course. If none exist, return</w:t>
      </w:r>
      <w:r>
        <w:t xml:space="preserve"> </w:t>
      </w:r>
      <w:r>
        <w:t xml:space="preserve">“</w:t>
      </w:r>
      <w:r>
        <w:t xml:space="preserve">Course not found for this camp.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Find the logged-in user’s own Chief Examiner role allocation(s)</w:t>
      </w:r>
      <w:r>
        <w:t xml:space="preserve"> </w:t>
      </w:r>
      <w:r>
        <w:t xml:space="preserve">for this specific camp and course. If they don’t have one, return</w:t>
      </w:r>
      <w:r>
        <w:t xml:space="preserve"> </w:t>
      </w:r>
      <w:r>
        <w:t xml:space="preserve">“</w:t>
      </w:r>
      <w:r>
        <w:t xml:space="preserve">Chief Examiner role not found for this course.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Find every Additional Examiner whose role allocation reports to</w:t>
      </w:r>
      <w:r>
        <w:t xml:space="preserve"> </w:t>
      </w:r>
      <w:r>
        <w:t xml:space="preserve">one of those Chief allocations (via</w:t>
      </w:r>
      <w:r>
        <w:t xml:space="preserve"> </w:t>
      </w:r>
      <w:r>
        <w:rPr>
          <w:rStyle w:val="VerbatimChar"/>
        </w:rPr>
        <w:t xml:space="preserve">parent_id</w:t>
      </w:r>
      <w:r>
        <w:t xml:space="preserve">), for the same</w:t>
      </w:r>
      <w:r>
        <w:t xml:space="preserve"> </w:t>
      </w:r>
      <w:r>
        <w:t xml:space="preserve">camp and course. If there are none, return</w:t>
      </w:r>
      <w:r>
        <w:t xml:space="preserve"> </w:t>
      </w:r>
      <w:r>
        <w:t xml:space="preserve">“</w:t>
      </w:r>
      <w:r>
        <w:t xml:space="preserve">No additional</w:t>
      </w:r>
      <w:r>
        <w:t xml:space="preserve"> </w:t>
      </w:r>
      <w:r>
        <w:t xml:space="preserve">examiners found under this chief examiner.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t xml:space="preserve">For each Additional Examiner found, look up every bundle they’ve</w:t>
      </w:r>
      <w:r>
        <w:t xml:space="preserve"> </w:t>
      </w:r>
      <w:r>
        <w:t xml:space="preserve">been assigned (</w:t>
      </w:r>
      <w:r>
        <w:rPr>
          <w:rStyle w:val="VerbatimChar"/>
        </w:rPr>
        <w:t xml:space="preserve">BundleExaminer</w:t>
      </w:r>
      <w:r>
        <w:t xml:space="preserve">). For each bundle, work out a</w:t>
      </w:r>
      <w:r>
        <w:t xml:space="preserve"> </w:t>
      </w:r>
      <w:r>
        <w:rPr>
          <w:rStyle w:val="VerbatimChar"/>
        </w:rPr>
        <w:t xml:space="preserve">"RETURNED"</w:t>
      </w:r>
      <w:r>
        <w:t xml:space="preserve">/</w:t>
      </w:r>
      <w:r>
        <w:rPr>
          <w:rStyle w:val="VerbatimChar"/>
        </w:rPr>
        <w:t xml:space="preserve">"NOT RETURNED"</w:t>
      </w:r>
      <w:r>
        <w:t xml:space="preserve"> </w:t>
      </w:r>
      <w:r>
        <w:t xml:space="preserve">status based on whether the</w:t>
      </w:r>
      <w:r>
        <w:t xml:space="preserve"> </w:t>
      </w:r>
      <w:r>
        <w:t xml:space="preserve">underlying</w:t>
      </w:r>
      <w:r>
        <w:t xml:space="preserve"> </w:t>
      </w:r>
      <w:r>
        <w:rPr>
          <w:rStyle w:val="VerbatimChar"/>
        </w:rPr>
        <w:t xml:space="preserve">BundleMaster</w:t>
      </w:r>
      <w:r>
        <w:t xml:space="preserve"> </w:t>
      </w:r>
      <w:r>
        <w:t xml:space="preserve">is already</w:t>
      </w:r>
      <w:r>
        <w:t xml:space="preserve"> </w:t>
      </w:r>
      <w:r>
        <w:rPr>
          <w:rStyle w:val="VerbatimChar"/>
        </w:rPr>
        <w:t xml:space="preserve">EVALUATED</w:t>
      </w:r>
      <w:r>
        <w:t xml:space="preserve">, and build a</w:t>
      </w:r>
      <w:r>
        <w:t xml:space="preserve"> </w:t>
      </w:r>
      <w:r>
        <w:t xml:space="preserve">display row combining the examiner’s name, that status, the</w:t>
      </w:r>
      <w:r>
        <w:t xml:space="preserve"> </w:t>
      </w:r>
      <w:r>
        <w:t xml:space="preserve">bundle code, and the total paper count.</w:t>
      </w:r>
    </w:p>
    <w:p>
      <w:pPr>
        <w:numPr>
          <w:ilvl w:val="0"/>
          <w:numId w:val="1001"/>
        </w:numPr>
        <w:pStyle w:val="Compact"/>
      </w:pPr>
      <w:r>
        <w:t xml:space="preserve">Return the full list of examiner-bundle rows.</w:t>
      </w:r>
    </w:p>
    <w:bookmarkEnd w:id="23"/>
    <w:bookmarkStart w:id="24" w:name="response"/>
    <w:p>
      <w:pPr>
        <w:pStyle w:val="Heading2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true, "message": "success",</w:t>
      </w:r>
      <w:r>
        <w:br/>
      </w:r>
      <w:r>
        <w:rPr>
          <w:rStyle w:val="VerbatimChar"/>
        </w:rPr>
        <w:t xml:space="preserve">  "data": [</w:t>
      </w:r>
      <w:r>
        <w:br/>
      </w:r>
      <w:r>
        <w:rPr>
          <w:rStyle w:val="VerbatimChar"/>
        </w:rPr>
        <w:t xml:space="preserve">    {"bundleExaminerId": 1200, "addtionlExminerNme": "Jane Doe (NOT RETURNED) - B00501 - 40 papers",</w:t>
      </w:r>
      <w:r>
        <w:br/>
      </w:r>
      <w:r>
        <w:rPr>
          <w:rStyle w:val="VerbatimChar"/>
        </w:rPr>
        <w:t xml:space="preserve">     "examinerName": "Jane Doe", "bundleCode": "B00501", "totalPapers": 40, "returnStatus": "NOT RETURNED"}</w:t>
      </w:r>
      <w:r>
        <w:br/>
      </w:r>
      <w:r>
        <w:rPr>
          <w:rStyle w:val="VerbatimChar"/>
        </w:rPr>
        <w:t xml:space="preserve">  ],</w:t>
      </w:r>
      <w:r>
        <w:br/>
      </w:r>
      <w:r>
        <w:rPr>
          <w:rStyle w:val="VerbatimChar"/>
        </w:rPr>
        <w:t xml:space="preserve">  "status_code": 200</w:t>
      </w:r>
      <w:r>
        <w:br/>
      </w:r>
      <w:r>
        <w:rPr>
          <w:rStyle w:val="VerbatimChar"/>
        </w:rPr>
        <w:t xml:space="preserve">}</w:t>
      </w:r>
    </w:p>
    <w:bookmarkEnd w:id="24"/>
    <w:bookmarkStart w:id="25" w:name="notes-issues-found"/>
    <w:p>
      <w:pPr>
        <w:pStyle w:val="Heading2"/>
      </w:pPr>
      <w:r>
        <w:t xml:space="preserve">Notes / issues found</w:t>
      </w:r>
    </w:p>
    <w:p>
      <w:pPr>
        <w:pStyle w:val="FirstParagraph"/>
      </w:pPr>
      <w:r>
        <w:rPr>
          <w:bCs/>
          <w:b/>
        </w:rPr>
        <w:t xml:space="preserve">The de-duplicated programme list in 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GET</w:t>
      </w:r>
      <w:r>
        <w:rPr>
          <w:bCs/>
          <w:b/>
        </w:rPr>
        <w:t xml:space="preserve"> </w:t>
      </w:r>
      <w:r>
        <w:rPr>
          <w:bCs/>
          <w:b/>
        </w:rPr>
        <w:t xml:space="preserve">response isn’t</w:t>
      </w:r>
      <w:r>
        <w:rPr>
          <w:bCs/>
          <w:b/>
        </w:rPr>
        <w:t xml:space="preserve"> </w:t>
      </w:r>
      <w:r>
        <w:rPr>
          <w:bCs/>
          <w:b/>
        </w:rPr>
        <w:t xml:space="preserve">converted to a plain list first</w:t>
      </w:r>
      <w:r>
        <w:t xml:space="preserve"> </w:t>
      </w:r>
      <w:r>
        <w:t xml:space="preserve">— same</w:t>
      </w:r>
      <w:r>
        <w:t xml:space="preserve"> </w:t>
      </w:r>
      <w:r>
        <w:rPr>
          <w:rStyle w:val="VerbatimChar"/>
        </w:rPr>
        <w:t xml:space="preserve">pgm_list = unique_everseen(pgm_list)</w:t>
      </w:r>
      <w:r>
        <w:t xml:space="preserve"> </w:t>
      </w:r>
      <w:r>
        <w:t xml:space="preserve">pattern (missing the</w:t>
      </w:r>
      <w:r>
        <w:t xml:space="preserve"> </w:t>
      </w:r>
      <w:r>
        <w:t xml:space="preserve">surrounding</w:t>
      </w:r>
      <w:r>
        <w:t xml:space="preserve"> </w:t>
      </w:r>
      <w:r>
        <w:rPr>
          <w:rStyle w:val="VerbatimChar"/>
        </w:rPr>
        <w:t xml:space="preserve">list(...)</w:t>
      </w:r>
      <w:r>
        <w:t xml:space="preserve">) seen in</w:t>
      </w:r>
      <w:r>
        <w:t xml:space="preserve"> </w:t>
      </w:r>
      <w:r>
        <w:rPr>
          <w:rStyle w:val="VerbatimChar"/>
        </w:rPr>
        <w:t xml:space="preserve">answersheet_allocate.py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ExaminerProgram</w:t>
      </w:r>
      <w:r>
        <w:t xml:space="preserve">/</w:t>
      </w:r>
      <w:r>
        <w:rPr>
          <w:rStyle w:val="VerbatimChar"/>
        </w:rPr>
        <w:t xml:space="preserve">RevaluationExaminerProgram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The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POST</w:t>
      </w:r>
      <w:r>
        <w:rPr>
          <w:bCs/>
          <w:b/>
        </w:rPr>
        <w:t xml:space="preserve"> </w:t>
      </w:r>
      <w:r>
        <w:rPr>
          <w:bCs/>
          <w:b/>
        </w:rPr>
        <w:t xml:space="preserve">response’s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data</w:t>
      </w:r>
      <w:r>
        <w:rPr>
          <w:bCs/>
          <w:b/>
        </w:rPr>
        <w:t xml:space="preserve"> </w:t>
      </w:r>
      <w:r>
        <w:rPr>
          <w:bCs/>
          <w:b/>
        </w:rPr>
        <w:t xml:space="preserve">is a bare array, not an object with a</w:t>
      </w:r>
      <w:r>
        <w:rPr>
          <w:bCs/>
          <w:b/>
        </w:rPr>
        <w:t xml:space="preserve"> </w:t>
      </w:r>
      <w:r>
        <w:rPr>
          <w:bCs/>
          <w:b/>
        </w:rPr>
        <w:t xml:space="preserve">named key.</w:t>
      </w:r>
      <w:r>
        <w:t xml:space="preserve"> </w:t>
      </w:r>
      <w:r>
        <w:t xml:space="preserve">Nearly every other endpoint in this module wraps a list</w:t>
      </w:r>
      <w:r>
        <w:t xml:space="preserve"> </w:t>
      </w:r>
      <w:r>
        <w:t xml:space="preserve">result in something like</w:t>
      </w:r>
      <w:r>
        <w:t xml:space="preserve"> </w:t>
      </w:r>
      <w:r>
        <w:rPr>
          <w:rStyle w:val="VerbatimChar"/>
        </w:rPr>
        <w:t xml:space="preserve">{"Pgm": [...]}</w:t>
      </w:r>
      <w:r>
        <w:t xml:space="preserve"> </w:t>
      </w:r>
      <w:r>
        <w:t xml:space="preserve">— this one returns the</w:t>
      </w:r>
      <w:r>
        <w:t xml:space="preserve"> </w:t>
      </w:r>
      <w:r>
        <w:t xml:space="preserve">list directly as</w:t>
      </w:r>
      <w:r>
        <w:t xml:space="preserve"> </w:t>
      </w:r>
      <w:r>
        <w:rPr>
          <w:rStyle w:val="VerbatimChar"/>
        </w:rPr>
        <w:t xml:space="preserve">data</w:t>
      </w:r>
      <w:r>
        <w:t xml:space="preserve">, which is inconsistent with the rest of the</w:t>
      </w:r>
      <w:r>
        <w:t xml:space="preserve"> </w:t>
      </w:r>
      <w:r>
        <w:t xml:space="preserve">module’s response shape.</w:t>
      </w:r>
    </w:p>
    <w:p>
      <w:pPr>
        <w:pStyle w:val="BodyText"/>
      </w:pPr>
      <w:r>
        <w:t xml:space="preserve">Roughly eight</w:t>
      </w:r>
      <w:r>
        <w:t xml:space="preserve"> </w:t>
      </w:r>
      <w:r>
        <w:rPr>
          <w:rStyle w:val="VerbatimChar"/>
        </w:rPr>
        <w:t xml:space="preserve">print()</w:t>
      </w:r>
      <w:r>
        <w:t xml:space="preserve"> </w:t>
      </w:r>
      <w:r>
        <w:t xml:space="preserve">debug statements, labeled</w:t>
      </w:r>
      <w:r>
        <w:t xml:space="preserve"> </w:t>
      </w:r>
      <w:r>
        <w:rPr>
          <w:rStyle w:val="VerbatimChar"/>
        </w:rPr>
        <w:t xml:space="preserve">DEBUG STEP1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DEBUG STEP4</w:t>
      </w:r>
      <w:r>
        <w:t xml:space="preserve">, trace every intermediate queryset — the same</w:t>
      </w:r>
      <w:r>
        <w:t xml:space="preserve"> </w:t>
      </w:r>
      <w:r>
        <w:t xml:space="preserve">labeling style used in</w:t>
      </w:r>
      <w:r>
        <w:t xml:space="preserve"> </w:t>
      </w:r>
      <w:r>
        <w:rPr>
          <w:rStyle w:val="VerbatimChar"/>
        </w:rPr>
        <w:t xml:space="preserve">answersheet_allocate.py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BundleReturn</w:t>
      </w:r>
      <w:r>
        <w:t xml:space="preserve">,</w:t>
      </w:r>
      <w:r>
        <w:t xml:space="preserve"> </w:t>
      </w:r>
      <w:r>
        <w:t xml:space="preserve">suggesting the same debugging session touched both files.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2026-08-28T05:38:24Z</dcterms:created>
  <dcterms:modified xsi:type="dcterms:W3CDTF">2026-08-28T05:38:24Z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