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screendistributionbundleview"/>
    <w:p>
      <w:pPr>
        <w:pStyle w:val="Heading1"/>
      </w:pPr>
      <w:r>
        <w:t xml:space="preserve">OnScreenDistributionBundleView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OnScreenDistributionBundleView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onscreen-distribution-bundle-view/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OnScreenDistributionBundleView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When the officer clicks into one row of the distribution table, this</w:t>
      </w:r>
      <w:r>
        <w:t xml:space="preserve"> </w:t>
      </w:r>
      <w:r>
        <w:t xml:space="preserve">returns the full detail for that specific bundle-examiner assignment.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row’s id — accepted as either a normal or a revaluation record (see below)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Try treating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id</w:t>
      </w:r>
      <w:r>
        <w:t xml:space="preserve"> </w:t>
      </w:r>
      <w:r>
        <w:t xml:space="preserve">first — if it matches, resolve its parent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that doesn’t match anything, fall back to treating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id directly.</w:t>
      </w:r>
    </w:p>
    <w:p>
      <w:pPr>
        <w:numPr>
          <w:ilvl w:val="0"/>
          <w:numId w:val="1001"/>
        </w:numPr>
        <w:pStyle w:val="Compact"/>
      </w:pPr>
      <w:r>
        <w:t xml:space="preserve">If neither resolves to a real record, return a specific</w:t>
      </w:r>
      <w:r>
        <w:t xml:space="preserve"> </w:t>
      </w:r>
      <w:r>
        <w:t xml:space="preserve">“</w:t>
      </w:r>
      <w:r>
        <w:t xml:space="preserve">Bundle</w:t>
      </w:r>
      <w:r>
        <w:t xml:space="preserve"> </w:t>
      </w:r>
      <w:r>
        <w:t xml:space="preserve">examiner 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1"/>
        </w:numPr>
        <w:pStyle w:val="Compact"/>
      </w:pPr>
      <w:r>
        <w:t xml:space="preserve">Serialize the resolved bundle-examiner with</w:t>
      </w:r>
      <w:r>
        <w:t xml:space="preserve"> </w:t>
      </w:r>
      <w:r>
        <w:rPr>
          <w:rStyle w:val="VerbatimChar"/>
        </w:rPr>
        <w:t xml:space="preserve">OnScreenBundleDetailsSerializer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serializers.docx</w:t>
      </w:r>
      <w:r>
        <w:t xml:space="preserve">) and</w:t>
      </w:r>
      <w:r>
        <w:t xml:space="preserve"> </w:t>
      </w:r>
      <w:r>
        <w:t xml:space="preserve">return the full detail.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{"answersheetDistributionBundleView": {"bundleExaminerId": 1200, "examinerName": "Jane Doe", "examTitle": "Semester 4 Regular"}},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issues found — the dual-id fallback and explicit not-found</w:t>
      </w:r>
      <w:r>
        <w:t xml:space="preserve"> </w:t>
      </w:r>
      <w:r>
        <w:t xml:space="preserve">handling are both clean, sensible patterns.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