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distributionevaluatorfilterlist"/>
    <w:p>
      <w:pPr>
        <w:pStyle w:val="Heading1"/>
      </w:pPr>
      <w:r>
        <w:t xml:space="preserve">OnscreenDistributionEvaluatorFilterList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OnscreenDistributionEvaluatorFilterList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onscreen-evaluator-filterlist/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OnscreenDistributionEvaluatorFilterList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examiner-scoped counterpart to</w:t>
      </w:r>
      <w:r>
        <w:t xml:space="preserve"> </w:t>
      </w:r>
      <w:r>
        <w:rPr>
          <w:rStyle w:val="VerbatimChar"/>
        </w:rPr>
        <w:t xml:space="preserve">OnscreenDistributionFilterList</w:t>
      </w:r>
      <w:r>
        <w:t xml:space="preserve"> </w:t>
      </w:r>
      <w:r>
        <w:t xml:space="preserve">—</w:t>
      </w:r>
      <w:r>
        <w:t xml:space="preserve"> </w:t>
      </w:r>
      <w:r>
        <w:t xml:space="preserve">once the officer picks a specific examiner (via</w:t>
      </w:r>
      <w:r>
        <w:t xml:space="preserve"> </w:t>
      </w:r>
      <w:r>
        <w:rPr>
          <w:rStyle w:val="VerbatimChar"/>
        </w:rPr>
        <w:t xml:space="preserve">ExaminerSearch</w:t>
      </w:r>
      <w:r>
        <w:t xml:space="preserve"> </w:t>
      </w:r>
      <w:r>
        <w:t xml:space="preserve">above), this shows just that examiner’s bundle-examiner rows rather</w:t>
      </w:r>
      <w:r>
        <w:t xml:space="preserve"> </w:t>
      </w:r>
      <w:r>
        <w:t xml:space="preserve">than the whole dashboard.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examiner picked via</w:t>
            </w:r>
            <w:r>
              <w:t xml:space="preserve"> </w:t>
            </w:r>
            <w:r>
              <w:rPr>
                <w:rStyle w:val="VerbatimChar"/>
              </w:rPr>
              <w:t xml:space="preserve">ExaminerSearch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Filter the same base set of bundle-examiner rows (officer’s active</w:t>
      </w:r>
      <w:r>
        <w:t xml:space="preserve"> </w:t>
      </w:r>
      <w:r>
        <w:t xml:space="preserve">camps) down to just this examiner.</w:t>
      </w:r>
    </w:p>
    <w:p>
      <w:pPr>
        <w:numPr>
          <w:ilvl w:val="0"/>
          <w:numId w:val="1001"/>
        </w:numPr>
        <w:pStyle w:val="Compact"/>
      </w:pPr>
      <w:r>
        <w:t xml:space="preserve">Apply the same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date formatting and duty-certificate</w:t>
      </w:r>
      <w:r>
        <w:t xml:space="preserve"> </w:t>
      </w:r>
      <w:r>
        <w:t xml:space="preserve">lookup as</w:t>
      </w:r>
      <w:r>
        <w:t xml:space="preserve"> </w:t>
      </w:r>
      <w:r>
        <w:rPr>
          <w:rStyle w:val="VerbatimChar"/>
        </w:rPr>
        <w:t xml:space="preserve">OnscreenDistributionFilterList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the row list — with</w:t>
      </w:r>
      <w:r>
        <w:t xml:space="preserve"> </w:t>
      </w:r>
      <w:r>
        <w:rPr>
          <w:rStyle w:val="VerbatimChar"/>
        </w:rPr>
        <w:t xml:space="preserve">total_scanned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total_third_eval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qp_details</w:t>
      </w:r>
      <w:r>
        <w:t xml:space="preserve"> </w:t>
      </w:r>
      <w:r>
        <w:t xml:space="preserve">always zeroed/empty, since those numbers are</w:t>
      </w:r>
      <w:r>
        <w:t xml:space="preserve"> </w:t>
      </w:r>
      <w:r>
        <w:t xml:space="preserve">specific to a QP-code search and don’t apply when scoping by</w:t>
      </w:r>
      <w:r>
        <w:t xml:space="preserve"> </w:t>
      </w:r>
      <w:r>
        <w:t xml:space="preserve">examiner instead.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{"answersheet_distribution_list": [...], "total_scanned": 0, "total_third_eval": 0, "qp_details": {}},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The row-augmentation logic (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formatting,</w:t>
      </w:r>
      <w:r>
        <w:t xml:space="preserve"> </w:t>
      </w:r>
      <w:r>
        <w:t xml:space="preserve">duty-certificate lookup) is copy-pasted from</w:t>
      </w:r>
      <w:r>
        <w:t xml:space="preserve"> </w:t>
      </w:r>
      <w:r>
        <w:rPr>
          <w:rStyle w:val="VerbatimChar"/>
        </w:rPr>
        <w:t xml:space="preserve">OnscreenDistributionFilterList</w:t>
      </w:r>
      <w:r>
        <w:t xml:space="preserve"> </w:t>
      </w:r>
      <w:r>
        <w:t xml:space="preserve">rather than shared as a common</w:t>
      </w:r>
      <w:r>
        <w:t xml:space="preserve"> </w:t>
      </w:r>
      <w:r>
        <w:t xml:space="preserve">helper function both endpoints could call — a fix to one wouldn’t</w:t>
      </w:r>
      <w:r>
        <w:t xml:space="preserve"> </w:t>
      </w:r>
      <w:r>
        <w:t xml:space="preserve">automatically apply to the other.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