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smp-suspected-malpractice-marking-apis"/>
    <w:p>
      <w:pPr>
        <w:pStyle w:val="Heading1"/>
      </w:pPr>
      <w:r>
        <w:t xml:space="preserve">SMP (Suspected Malpractice) Marking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online_evaluation/smpmark.py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online_evaluation/urls.py</w:t>
      </w:r>
    </w:p>
    <w:bookmarkStart w:id="20" w:name="what-this-file-is-for"/>
    <w:p>
      <w:pPr>
        <w:pStyle w:val="Heading2"/>
      </w:pPr>
      <w:r>
        <w:t xml:space="preserve">What this file is for</w:t>
      </w:r>
    </w:p>
    <w:p>
      <w:pPr>
        <w:pStyle w:val="FirstParagraph"/>
      </w:pPr>
      <w:r>
        <w:t xml:space="preserve">While reviewing an answer sheet on-screen, an examiner might spot</w:t>
      </w:r>
      <w:r>
        <w:t xml:space="preserve"> </w:t>
      </w:r>
      <w:r>
        <w:t xml:space="preserve">something suspicious — evidence of malpractice. This file lets them</w:t>
      </w:r>
      <w:r>
        <w:t xml:space="preserve"> </w:t>
      </w:r>
      <w:r>
        <w:t xml:space="preserve">flag the candidate’s sheet as SMP (Suspected Malpractice), attach</w:t>
      </w:r>
      <w:r>
        <w:t xml:space="preserve"> </w:t>
      </w:r>
      <w:r>
        <w:t xml:space="preserve">supporting evidence (a PDF and/or screenshots), and have an email</w:t>
      </w:r>
      <w:r>
        <w:t xml:space="preserve"> </w:t>
      </w:r>
      <w:r>
        <w:t xml:space="preserve">notification go out automatically. It also has a</w:t>
      </w:r>
      <w:r>
        <w:t xml:space="preserve"> </w:t>
      </w:r>
      <w:r>
        <w:t xml:space="preserve">“</w:t>
      </w:r>
      <w:r>
        <w:t xml:space="preserve">revert</w:t>
      </w:r>
      <w:r>
        <w:t xml:space="preserve">”</w:t>
      </w:r>
      <w:r>
        <w:t xml:space="preserve"> </w:t>
      </w:r>
      <w:r>
        <w:t xml:space="preserve">action for</w:t>
      </w:r>
      <w:r>
        <w:t xml:space="preserve"> </w:t>
      </w:r>
      <w:r>
        <w:t xml:space="preserve">undoing that flag, and a small unrelated utility endpoint for</w:t>
      </w:r>
      <w:r>
        <w:t xml:space="preserve"> </w:t>
      </w:r>
      <w:r>
        <w:t xml:space="preserve">displaying a PDF in the browser without a cross-origin error.</w:t>
      </w:r>
    </w:p>
    <w:bookmarkEnd w:id="20"/>
    <w:bookmarkStart w:id="27" w:name="mark-smp"/>
    <w:p>
      <w:pPr>
        <w:pStyle w:val="Heading2"/>
      </w:pPr>
      <w:r>
        <w:t xml:space="preserve">1. Mark SMP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marksmp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(multipart form, can include</w:t>
            </w:r>
            <w:r>
              <w:t xml:space="preserve"> </w:t>
            </w:r>
            <w:r>
              <w:t xml:space="preserve">files) · runs inside a database</w:t>
            </w:r>
            <w:r>
              <w:t xml:space="preserve"> </w:t>
            </w:r>
            <w:r>
              <w:t xml:space="preserve">transaction</w:t>
            </w:r>
            <w:r>
              <w:t xml:space="preserve"> </w:t>
            </w:r>
            <w:r>
              <w:rPr>
                <w:rStyle w:val="VerbatimChar"/>
              </w:rPr>
              <w:t xml:space="preserve">Smpbutton</w:t>
            </w:r>
          </w:p>
        </w:tc>
      </w:tr>
    </w:tbl>
    <w:bookmarkStart w:id="21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The actual</w:t>
      </w:r>
      <w:r>
        <w:t xml:space="preserve"> </w:t>
      </w:r>
      <w:r>
        <w:t xml:space="preserve">“</w:t>
      </w:r>
      <w:r>
        <w:t xml:space="preserve">flag this as SMP</w:t>
      </w:r>
      <w:r>
        <w:t xml:space="preserve">”</w:t>
      </w:r>
      <w:r>
        <w:t xml:space="preserve"> </w:t>
      </w:r>
      <w:r>
        <w:t xml:space="preserve">button — records the flag, moves the</w:t>
      </w:r>
      <w:r>
        <w:t xml:space="preserve"> </w:t>
      </w:r>
      <w:r>
        <w:t xml:space="preserve">answer sheet into an SMP-specific status, and emails the relevant</w:t>
      </w:r>
      <w:r>
        <w:t xml:space="preserve"> </w:t>
      </w:r>
      <w:r>
        <w:t xml:space="preserve">staff with the details and evidence attached.</w:t>
      </w:r>
    </w:p>
    <w:bookmarkEnd w:id="21"/>
    <w:bookmarkStart w:id="22" w:name="request"/>
    <w:p>
      <w:pPr>
        <w:pStyle w:val="Heading3"/>
      </w:pPr>
      <w:r>
        <w:t xml:space="preserve">Request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candidate’s sheet is being flagged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free-text reason (also gates whether</w:t>
            </w:r>
            <w:r>
              <w:t xml:space="preserve"> </w:t>
            </w:r>
            <w:r>
              <w:rPr>
                <w:rStyle w:val="VerbatimChar"/>
              </w:rPr>
              <w:t xml:space="preserve">reason_ontable</w:t>
            </w:r>
            <w:r>
              <w:t xml:space="preserve"> </w:t>
            </w:r>
            <w:r>
              <w:t xml:space="preserve">is looked up — see note below)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reason_ontable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specific</w:t>
            </w:r>
            <w:r>
              <w:t xml:space="preserve"> </w:t>
            </w:r>
            <w:r>
              <w:rPr>
                <w:rStyle w:val="VerbatimChar"/>
              </w:rPr>
              <w:t xml:space="preserve">SmpReasonMaster</w:t>
            </w:r>
            <w:r>
              <w:t xml:space="preserve"> </w:t>
            </w:r>
            <w:r>
              <w:t xml:space="preserve">name to look 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— the examiner’s 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pdf_file</w:t>
            </w:r>
            <w:r>
              <w:t xml:space="preserve"> </w:t>
            </w:r>
            <w:r>
              <w:t xml:space="preserve">(file, 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Supporting PDF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screenshot_files</w:t>
            </w:r>
            <w:r>
              <w:t xml:space="preserve"> </w:t>
            </w:r>
            <w:r>
              <w:t xml:space="preserve">(files, 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Supporting screenshots</w:t>
            </w:r>
          </w:p>
        </w:tc>
      </w:tr>
    </w:tbl>
    <w:bookmarkEnd w:id="22"/>
    <w:bookmarkStart w:id="23" w:name="how-it-works-step-by-step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If</w:t>
      </w:r>
      <w:r>
        <w:t xml:space="preserve"> </w:t>
      </w:r>
      <w:r>
        <w:rPr>
          <w:rStyle w:val="VerbatimChar"/>
        </w:rPr>
        <w:t xml:space="preserve">comment</w:t>
      </w:r>
      <w:r>
        <w:t xml:space="preserve"> </w:t>
      </w:r>
      <w:r>
        <w:t xml:space="preserve">is missing, reject immediately with</w:t>
      </w:r>
      <w:r>
        <w:t xml:space="preserve"> </w:t>
      </w:r>
      <w:r>
        <w:t xml:space="preserve">“</w:t>
      </w:r>
      <w:r>
        <w:t xml:space="preserve">Comment is</w:t>
      </w:r>
      <w:r>
        <w:t xml:space="preserve"> </w:t>
      </w:r>
      <w:r>
        <w:t xml:space="preserve">required.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Look up the SMP reason from</w:t>
      </w:r>
      <w:r>
        <w:t xml:space="preserve"> </w:t>
      </w:r>
      <w:r>
        <w:rPr>
          <w:rStyle w:val="VerbatimChar"/>
        </w:rPr>
        <w:t xml:space="preserve">SmpReasonMaster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reason_ontable</w:t>
      </w:r>
      <w:r>
        <w:t xml:space="preserve"> </w:t>
      </w:r>
      <w:r>
        <w:t xml:space="preserve">— but only if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(a different field) is</w:t>
      </w:r>
      <w:r>
        <w:t xml:space="preserve"> </w:t>
      </w:r>
      <w:r>
        <w:t xml:space="preserve">truthy; otherwise, default to</w:t>
      </w:r>
      <w:r>
        <w:t xml:space="preserve"> </w:t>
      </w:r>
      <w:r>
        <w:rPr>
          <w:rStyle w:val="VerbatimChar"/>
        </w:rPr>
        <w:t xml:space="preserve">"Not Specified"</w:t>
      </w:r>
      <w:r>
        <w:t xml:space="preserve"> </w:t>
      </w:r>
      <w:r>
        <w:t xml:space="preserve">(see the note</w:t>
      </w:r>
      <w:r>
        <w:t xml:space="preserve"> </w:t>
      </w:r>
      <w:r>
        <w:t xml:space="preserve">below about this mismatch).</w:t>
      </w:r>
    </w:p>
    <w:p>
      <w:pPr>
        <w:numPr>
          <w:ilvl w:val="0"/>
          <w:numId w:val="1001"/>
        </w:numPr>
        <w:pStyle w:val="Compact"/>
      </w:pPr>
      <w:r>
        <w:t xml:space="preserve">Find the</w:t>
      </w:r>
      <w:r>
        <w:t xml:space="preserve"> </w:t>
      </w:r>
      <w:r>
        <w:rPr>
          <w:rStyle w:val="VerbatimChar"/>
        </w:rPr>
        <w:t xml:space="preserve">ScannedAnswersheet</w:t>
      </w:r>
      <w:r>
        <w:t xml:space="preserve"> </w:t>
      </w:r>
      <w:r>
        <w:t xml:space="preserve">for this candidate, and every</w:t>
      </w:r>
      <w:r>
        <w:t xml:space="preserve"> </w:t>
      </w:r>
      <w:r>
        <w:rPr>
          <w:rStyle w:val="VerbatimChar"/>
        </w:rPr>
        <w:t xml:space="preserve">ExaminerScannedAnswersheet</w:t>
      </w:r>
      <w:r>
        <w:t xml:space="preserve"> </w:t>
      </w:r>
      <w:r>
        <w:t xml:space="preserve">row tied to it, and move all of them</w:t>
      </w:r>
      <w:r>
        <w:t xml:space="preserve"> </w:t>
      </w:r>
      <w:r>
        <w:t xml:space="preserve">to the</w:t>
      </w:r>
      <w:r>
        <w:t xml:space="preserve"> </w:t>
      </w:r>
      <w:r>
        <w:rPr>
          <w:rStyle w:val="VerbatimChar"/>
        </w:rPr>
        <w:t xml:space="preserve">SMP_STATE</w:t>
      </w:r>
      <w:r>
        <w:t xml:space="preserve"> </w:t>
      </w:r>
      <w:r>
        <w:t xml:space="preserve">status.</w:t>
      </w:r>
    </w:p>
    <w:p>
      <w:pPr>
        <w:numPr>
          <w:ilvl w:val="0"/>
          <w:numId w:val="1001"/>
        </w:numPr>
        <w:pStyle w:val="Compact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Smpstatushistory</w:t>
      </w:r>
      <w:r>
        <w:t xml:space="preserve"> </w:t>
      </w:r>
      <w:r>
        <w:t xml:space="preserve">entry — a record of this flag, including</w:t>
      </w:r>
      <w:r>
        <w:t xml:space="preserve"> </w:t>
      </w:r>
      <w:r>
        <w:t xml:space="preserve">the candidate code, exam registration id, and a copy of the</w:t>
      </w:r>
      <w:r>
        <w:t xml:space="preserve"> </w:t>
      </w:r>
      <w:r>
        <w:t xml:space="preserve">comment.</w:t>
      </w:r>
    </w:p>
    <w:p>
      <w:pPr>
        <w:numPr>
          <w:ilvl w:val="0"/>
          <w:numId w:val="1001"/>
        </w:numPr>
        <w:pStyle w:val="Compact"/>
      </w:pPr>
      <w:r>
        <w:t xml:space="preserve">Send an email notification (see the helper method below) with</w:t>
      </w:r>
      <w:r>
        <w:t xml:space="preserve"> </w:t>
      </w:r>
      <w:r>
        <w:t xml:space="preserve">whatever PDF and screenshots were attached.</w:t>
      </w:r>
    </w:p>
    <w:p>
      <w:pPr>
        <w:numPr>
          <w:ilvl w:val="0"/>
          <w:numId w:val="1001"/>
        </w:numPr>
        <w:pStyle w:val="Compact"/>
      </w:pPr>
      <w:r>
        <w:t xml:space="preserve">Return success.</w:t>
      </w:r>
    </w:p>
    <w:bookmarkEnd w:id="23"/>
    <w:bookmarkStart w:id="24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"Fetched successfully", "data": {}, "status_code": 201}</w:t>
      </w:r>
      <w:r>
        <w:br/>
      </w:r>
      <w:r>
        <w:br/>
      </w:r>
      <w:r>
        <w:rPr>
          <w:rStyle w:val="VerbatimChar"/>
        </w:rPr>
        <w:t xml:space="preserve">// missing comment:</w:t>
      </w:r>
      <w:r>
        <w:br/>
      </w:r>
      <w:r>
        <w:rPr>
          <w:rStyle w:val="VerbatimChar"/>
        </w:rPr>
        <w:t xml:space="preserve">{"status": false, "message": "Comment is required", "data": {}, "status_code": 400}</w:t>
      </w:r>
    </w:p>
    <w:bookmarkEnd w:id="24"/>
    <w:bookmarkStart w:id="25" w:name="Xafe8523bad9763b21b067733ebc0558db8bdd46"/>
    <w:p>
      <w:pPr>
        <w:pStyle w:val="Heading3"/>
      </w:pPr>
      <w:r>
        <w:rPr>
          <w:rStyle w:val="VerbatimChar"/>
        </w:rPr>
        <w:t xml:space="preserve">send_smp_notification_email()</w:t>
      </w:r>
      <w:r>
        <w:t xml:space="preserve"> </w:t>
      </w:r>
      <w:r>
        <w:t xml:space="preserve">— how the notification is built, step by step</w:t>
      </w:r>
    </w:p>
    <w:p>
      <w:pPr>
        <w:numPr>
          <w:ilvl w:val="0"/>
          <w:numId w:val="1002"/>
        </w:numPr>
        <w:pStyle w:val="Compact"/>
      </w:pPr>
      <w:r>
        <w:t xml:space="preserve">Look up the candidate’s details from</w:t>
      </w:r>
      <w:r>
        <w:t xml:space="preserve"> </w:t>
      </w:r>
      <w:r>
        <w:rPr>
          <w:rStyle w:val="VerbatimChar"/>
        </w:rPr>
        <w:t xml:space="preserve">DigitalFalseNumber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Look up the examiner’s phone number (from their</w:t>
      </w:r>
      <w:r>
        <w:t xml:space="preserve"> </w:t>
      </w:r>
      <w:r>
        <w:rPr>
          <w:rStyle w:val="VerbatimChar"/>
        </w:rPr>
        <w:t xml:space="preserve">UserProfiles</w:t>
      </w:r>
      <w:r>
        <w:t xml:space="preserve"> </w:t>
      </w:r>
      <w:r>
        <w:t xml:space="preserve">record) and email/name (from their Django user account).</w:t>
      </w:r>
    </w:p>
    <w:p>
      <w:pPr>
        <w:numPr>
          <w:ilvl w:val="0"/>
          <w:numId w:val="1002"/>
        </w:numPr>
        <w:pStyle w:val="Compact"/>
      </w:pPr>
      <w:r>
        <w:t xml:space="preserve">Look up which camp the examiner is currently working from, for</w:t>
      </w:r>
      <w:r>
        <w:t xml:space="preserve"> </w:t>
      </w:r>
      <w:r>
        <w:t xml:space="preserve">context in the email.</w:t>
      </w:r>
    </w:p>
    <w:p>
      <w:pPr>
        <w:numPr>
          <w:ilvl w:val="0"/>
          <w:numId w:val="1002"/>
        </w:numPr>
        <w:pStyle w:val="Compact"/>
      </w:pPr>
      <w:r>
        <w:t xml:space="preserve">Build an email context dictionary with all of the above, plus the</w:t>
      </w:r>
      <w:r>
        <w:t xml:space="preserve"> </w:t>
      </w:r>
      <w:r>
        <w:t xml:space="preserve">reason, comment, course name, and semester.</w:t>
      </w:r>
    </w:p>
    <w:p>
      <w:pPr>
        <w:numPr>
          <w:ilvl w:val="0"/>
          <w:numId w:val="1002"/>
        </w:numPr>
        <w:pStyle w:val="Compact"/>
      </w:pPr>
      <w:r>
        <w:t xml:space="preserve">Render an HTML email template (</w:t>
      </w:r>
      <w:r>
        <w:rPr>
          <w:rStyle w:val="VerbatimChar"/>
        </w:rPr>
        <w:t xml:space="preserve">smp_notification.html</w:t>
      </w:r>
      <w:r>
        <w:t xml:space="preserve">) with that</w:t>
      </w:r>
      <w:r>
        <w:t xml:space="preserve"> </w:t>
      </w:r>
      <w:r>
        <w:t xml:space="preserve">context, and also build a plain-text fallback version.</w:t>
      </w:r>
    </w:p>
    <w:p>
      <w:pPr>
        <w:numPr>
          <w:ilvl w:val="0"/>
          <w:numId w:val="1002"/>
        </w:numPr>
        <w:pStyle w:val="Compact"/>
      </w:pPr>
      <w:r>
        <w:t xml:space="preserve">Create the email, addressed to two fixed support addresses.</w:t>
      </w:r>
    </w:p>
    <w:p>
      <w:pPr>
        <w:numPr>
          <w:ilvl w:val="0"/>
          <w:numId w:val="1002"/>
        </w:numPr>
        <w:pStyle w:val="Compact"/>
      </w:pPr>
      <w:r>
        <w:t xml:space="preserve">If a PDF was uploaded, attach it directly (read from memory, not</w:t>
      </w:r>
      <w:r>
        <w:t xml:space="preserve"> </w:t>
      </w:r>
      <w:r>
        <w:t xml:space="preserve">saved to disk first).</w:t>
      </w:r>
    </w:p>
    <w:p>
      <w:pPr>
        <w:numPr>
          <w:ilvl w:val="0"/>
          <w:numId w:val="1002"/>
        </w:numPr>
        <w:pStyle w:val="Compact"/>
      </w:pPr>
      <w:r>
        <w:t xml:space="preserve">If screenshots were uploaded, compress each one with Pillow first</w:t>
      </w:r>
      <w:r>
        <w:t xml:space="preserve"> </w:t>
      </w:r>
      <w:r>
        <w:t xml:space="preserve">(converted to RGB if needed, resized down to a maximum width of</w:t>
      </w:r>
      <w:r>
        <w:t xml:space="preserve"> </w:t>
      </w:r>
      <w:r>
        <w:t xml:space="preserve">1920px, saved as a JPEG at 70% quality) before attaching — this</w:t>
      </w:r>
      <w:r>
        <w:t xml:space="preserve"> </w:t>
      </w:r>
      <w:r>
        <w:t xml:space="preserve">keeps the email’s total size manageable.</w:t>
      </w:r>
    </w:p>
    <w:p>
      <w:pPr>
        <w:numPr>
          <w:ilvl w:val="0"/>
          <w:numId w:val="1002"/>
        </w:numPr>
        <w:pStyle w:val="Compact"/>
      </w:pPr>
      <w:r>
        <w:t xml:space="preserve">Send the email.</w:t>
      </w:r>
    </w:p>
    <w:bookmarkEnd w:id="25"/>
    <w:bookmarkStart w:id="26" w:name="notes-issues-found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The reason lookup’s condition doesn’t match what it looks up.</w:t>
      </w:r>
    </w:p>
    <w:p>
      <w:pPr>
        <w:pStyle w:val="SourceCode"/>
      </w:pPr>
      <w:r>
        <w:rPr>
          <w:rStyle w:val="NormalTok"/>
        </w:rPr>
        <w:t xml:space="preserve">smpreason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SmpReasonMaster.objects.get(name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reason_ontable).name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reason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Specified"</w:t>
      </w:r>
    </w:p>
    <w:p>
      <w:pPr>
        <w:pStyle w:val="FirstParagraph"/>
      </w:pPr>
      <w:r>
        <w:t xml:space="preserve">The check is</w:t>
      </w:r>
      <w:r>
        <w:t xml:space="preserve"> </w:t>
      </w:r>
      <w:r>
        <w:rPr>
          <w:rStyle w:val="VerbatimChar"/>
        </w:rPr>
        <w:t xml:space="preserve">if reason</w:t>
      </w:r>
      <w:r>
        <w:t xml:space="preserve"> </w:t>
      </w:r>
      <w:r>
        <w:t xml:space="preserve">(a separate free-text field), but the actual</w:t>
      </w:r>
      <w:r>
        <w:t xml:space="preserve"> </w:t>
      </w:r>
      <w:r>
        <w:t xml:space="preserve">database lookup uses</w:t>
      </w:r>
      <w:r>
        <w:t xml:space="preserve"> </w:t>
      </w:r>
      <w:r>
        <w:rPr>
          <w:rStyle w:val="VerbatimChar"/>
        </w:rPr>
        <w:t xml:space="preserve">reason_ontable</w:t>
      </w:r>
      <w:r>
        <w:t xml:space="preserve"> </w:t>
      </w:r>
      <w:r>
        <w:t xml:space="preserve">(a different field entirely).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happens to be filled in but</w:t>
      </w:r>
      <w:r>
        <w:t xml:space="preserve"> </w:t>
      </w:r>
      <w:r>
        <w:rPr>
          <w:rStyle w:val="VerbatimChar"/>
        </w:rPr>
        <w:t xml:space="preserve">reason_ontable</w:t>
      </w:r>
      <w:r>
        <w:t xml:space="preserve"> </w:t>
      </w:r>
      <w:r>
        <w:t xml:space="preserve">doesn’t</w:t>
      </w:r>
      <w:r>
        <w:t xml:space="preserve"> </w:t>
      </w:r>
      <w:r>
        <w:t xml:space="preserve">match any real</w:t>
      </w:r>
      <w:r>
        <w:t xml:space="preserve"> </w:t>
      </w:r>
      <w:r>
        <w:rPr>
          <w:rStyle w:val="VerbatimChar"/>
        </w:rPr>
        <w:t xml:space="preserve">SmpReasonMaster</w:t>
      </w:r>
      <w:r>
        <w:t xml:space="preserve"> </w:t>
      </w:r>
      <w:r>
        <w:t xml:space="preserve">row, this raises an error — caught</w:t>
      </w:r>
      <w:r>
        <w:t xml:space="preserve"> </w:t>
      </w:r>
      <w:r>
        <w:t xml:space="preserve">only by the generic outer exception handler, so what’s really a</w:t>
      </w:r>
      <w:r>
        <w:t xml:space="preserve"> </w:t>
      </w:r>
      <w:r>
        <w:t xml:space="preserve">specific, fixable input mismatch surfaces as the same</w:t>
      </w:r>
      <w:r>
        <w:t xml:space="preserve"> </w:t>
      </w:r>
      <w:r>
        <w:t xml:space="preserve">undifferentiated failure as a genuine server error. Worth noting too:</w:t>
      </w:r>
      <w:r>
        <w:t xml:space="preserve"> </w:t>
      </w:r>
      <w:r>
        <w:t xml:space="preserve">a few lines later, the</w:t>
      </w:r>
      <w:r>
        <w:t xml:space="preserve"> </w:t>
      </w:r>
      <w:r>
        <w:rPr>
          <w:iCs/>
          <w:i/>
        </w:rPr>
        <w:t xml:space="preserve">same</w:t>
      </w:r>
      <w:r>
        <w:t xml:space="preserve"> </w:t>
      </w:r>
      <w:r>
        <w:t xml:space="preserve">kind of lookup</w:t>
      </w:r>
      <w:r>
        <w:t xml:space="preserve"> </w:t>
      </w:r>
      <w:r>
        <w:t xml:space="preserve">(</w:t>
      </w:r>
      <w:r>
        <w:rPr>
          <w:rStyle w:val="VerbatimChar"/>
        </w:rPr>
        <w:t xml:space="preserve">SmpReasonMaster.objects.filter(name=reason_ontable).first()</w:t>
      </w:r>
      <w:r>
        <w:t xml:space="preserve">) is</w:t>
      </w:r>
      <w:r>
        <w:t xml:space="preserve"> </w:t>
      </w:r>
      <w:r>
        <w:t xml:space="preserve">done again, but this time using the safer</w:t>
      </w:r>
      <w:r>
        <w:t xml:space="preserve"> </w:t>
      </w:r>
      <w:r>
        <w:rPr>
          <w:rStyle w:val="VerbatimChar"/>
        </w:rPr>
        <w:t xml:space="preserve">.filter().first()</w:t>
      </w:r>
      <w:r>
        <w:t xml:space="preserve"> </w:t>
      </w:r>
      <w:r>
        <w:t xml:space="preserve">pattern that doesn’t raise an error if nothing matches — so the same</w:t>
      </w:r>
      <w:r>
        <w:t xml:space="preserve"> </w:t>
      </w:r>
      <w:r>
        <w:t xml:space="preserve">data is looked up two different ways within one method.</w:t>
      </w:r>
    </w:p>
    <w:p>
      <w:pPr>
        <w:pStyle w:val="BodyText"/>
      </w:pPr>
      <w:r>
        <w:rPr>
          <w:bCs/>
          <w:b/>
        </w:rPr>
        <w:t xml:space="preserve">The email-sending step used to also create a permanent SMP report</w:t>
      </w:r>
      <w:r>
        <w:rPr>
          <w:bCs/>
          <w:b/>
        </w:rPr>
        <w:t xml:space="preserve"> </w:t>
      </w:r>
      <w:r>
        <w:rPr>
          <w:bCs/>
          <w:b/>
        </w:rPr>
        <w:t xml:space="preserve">record — it no longer does.</w:t>
      </w:r>
      <w:r>
        <w:t xml:space="preserve"> </w:t>
      </w:r>
      <w:r>
        <w:t xml:space="preserve">A block of code building an</w:t>
      </w:r>
      <w:r>
        <w:t xml:space="preserve"> </w:t>
      </w:r>
      <w:r>
        <w:rPr>
          <w:rStyle w:val="VerbatimChar"/>
        </w:rPr>
        <w:t xml:space="preserve">SmpReport</w:t>
      </w:r>
      <w:r>
        <w:t xml:space="preserve"> </w:t>
      </w:r>
      <w:r>
        <w:t xml:space="preserve">object is left commented out in this method. As</w:t>
      </w:r>
      <w:r>
        <w:t xml:space="preserve"> </w:t>
      </w:r>
      <w:r>
        <w:t xml:space="preserve">described below,</w:t>
      </w:r>
      <w:r>
        <w:t xml:space="preserve"> </w:t>
      </w:r>
      <w:r>
        <w:rPr>
          <w:rStyle w:val="VerbatimChar"/>
        </w:rPr>
        <w:t xml:space="preserve">RevertSmpbutton</w:t>
      </w:r>
      <w:r>
        <w:t xml:space="preserve"> </w:t>
      </w:r>
      <w:r>
        <w:t xml:space="preserve">(endpoint #3) still tries to</w:t>
      </w:r>
      <w:r>
        <w:t xml:space="preserve"> </w:t>
      </w:r>
      <w:r>
        <w:t xml:space="preserve">delete</w:t>
      </w:r>
      <w:r>
        <w:t xml:space="preserve"> </w:t>
      </w:r>
      <w:r>
        <w:rPr>
          <w:rStyle w:val="VerbatimChar"/>
        </w:rPr>
        <w:t xml:space="preserve">SmpReport</w:t>
      </w:r>
      <w:r>
        <w:t xml:space="preserve"> </w:t>
      </w:r>
      <w:r>
        <w:t xml:space="preserve">rows when undoing an SMP flag — meaning that</w:t>
      </w:r>
      <w:r>
        <w:t xml:space="preserve"> </w:t>
      </w:r>
      <w:r>
        <w:t xml:space="preserve">delete is currently a harmless no-op, since nothing creates those</w:t>
      </w:r>
      <w:r>
        <w:t xml:space="preserve"> </w:t>
      </w:r>
      <w:r>
        <w:t xml:space="preserve">rows anymore. This suggests</w:t>
      </w:r>
      <w:r>
        <w:t xml:space="preserve"> </w:t>
      </w:r>
      <w:r>
        <w:rPr>
          <w:rStyle w:val="VerbatimChar"/>
        </w:rPr>
        <w:t xml:space="preserve">SmpReport</w:t>
      </w:r>
      <w:r>
        <w:t xml:space="preserve"> </w:t>
      </w:r>
      <w:r>
        <w:t xml:space="preserve">may still be expected to</w:t>
      </w:r>
      <w:r>
        <w:t xml:space="preserve"> </w:t>
      </w:r>
      <w:r>
        <w:t xml:space="preserve">exist for some other reporting purpose that quietly stopped being</w:t>
      </w:r>
      <w:r>
        <w:t xml:space="preserve"> </w:t>
      </w:r>
      <w:r>
        <w:t xml:space="preserve">populated.</w:t>
      </w:r>
    </w:p>
    <w:p>
      <w:pPr>
        <w:pStyle w:val="BodyText"/>
      </w:pPr>
      <w:r>
        <w:rPr>
          <w:bCs/>
          <w:b/>
        </w:rPr>
        <w:t xml:space="preserve">The email is sent synchronously, inside the same database</w:t>
      </w:r>
      <w:r>
        <w:rPr>
          <w:bCs/>
          <w:b/>
        </w:rPr>
        <w:t xml:space="preserve"> </w:t>
      </w:r>
      <w:r>
        <w:rPr>
          <w:bCs/>
          <w:b/>
        </w:rPr>
        <w:t xml:space="preserve">transaction, before the response is returned.</w:t>
      </w:r>
      <w:r>
        <w:t xml:space="preserve"> </w:t>
      </w:r>
      <w:r>
        <w:t xml:space="preserve">Reading and</w:t>
      </w:r>
      <w:r>
        <w:t xml:space="preserve"> </w:t>
      </w:r>
      <w:r>
        <w:t xml:space="preserve">compressing screenshots, and sending the email itself, all happen</w:t>
      </w:r>
      <w:r>
        <w:t xml:space="preserve"> </w:t>
      </w:r>
      <w:r>
        <w:t xml:space="preserve">while the database transaction from step 3–4 is still open. If the</w:t>
      </w:r>
      <w:r>
        <w:t xml:space="preserve"> </w:t>
      </w:r>
      <w:r>
        <w:t xml:space="preserve">mail server is slow or briefly unreachable, this holds the</w:t>
      </w:r>
      <w:r>
        <w:t xml:space="preserve"> </w:t>
      </w:r>
      <w:r>
        <w:t xml:space="preserve">transaction (and the whole request) open for as long as that takes,</w:t>
      </w:r>
      <w:r>
        <w:t xml:space="preserve"> </w:t>
      </w:r>
      <w:r>
        <w:t xml:space="preserve">rather than the notification being handled as a background task the</w:t>
      </w:r>
      <w:r>
        <w:t xml:space="preserve"> </w:t>
      </w:r>
      <w:r>
        <w:t xml:space="preserve">way, for example,</w:t>
      </w:r>
      <w:r>
        <w:t xml:space="preserve"> </w:t>
      </w:r>
      <w:r>
        <w:rPr>
          <w:rStyle w:val="VerbatimChar"/>
        </w:rPr>
        <w:t xml:space="preserve">automatic_mapping.py</w:t>
      </w:r>
      <w:r>
        <w:t xml:space="preserve">’s QR-mapping step is.</w:t>
      </w:r>
    </w:p>
    <w:p>
      <w:pPr>
        <w:pStyle w:val="BodyText"/>
      </w:pPr>
      <w:r>
        <w:rPr>
          <w:bCs/>
          <w:b/>
        </w:rPr>
        <w:t xml:space="preserve">The notification recipients are hardcoded into the code</w:t>
      </w:r>
      <w:r>
        <w:t xml:space="preserve"> </w:t>
      </w:r>
      <w:r>
        <w:t xml:space="preserve">(</w:t>
      </w:r>
      <w:r>
        <w:rPr>
          <w:rStyle w:val="VerbatimChar"/>
        </w:rPr>
        <w:t xml:space="preserve">to=['support@keralauniversity.ac.in', 'arebandmc1@keralauniversity.ac.in']</w:t>
      </w:r>
      <w:r>
        <w:t xml:space="preserve">)</w:t>
      </w:r>
      <w:r>
        <w:t xml:space="preserve"> </w:t>
      </w:r>
      <w:r>
        <w:t xml:space="preserve">rather than being configurable — changing who gets notified requires</w:t>
      </w:r>
      <w:r>
        <w:t xml:space="preserve"> </w:t>
      </w:r>
      <w:r>
        <w:t xml:space="preserve">editing and redeploying this file.</w:t>
      </w:r>
    </w:p>
    <w:p>
      <w:pPr>
        <w:pStyle w:val="BodyText"/>
      </w:pPr>
      <w:r>
        <w:t xml:space="preserve">Several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debug statements are left in throughout — including</w:t>
      </w:r>
      <w:r>
        <w:t xml:space="preserve"> </w:t>
      </w:r>
      <w:r>
        <w:t xml:space="preserve">a few with repeated-character marker text (</w:t>
      </w:r>
      <w:r>
        <w:rPr>
          <w:rStyle w:val="VerbatimChar"/>
        </w:rPr>
        <w:t xml:space="preserve">"lllllllllll"</w:t>
      </w:r>
      <w:r>
        <w:t xml:space="preserve">,</w:t>
      </w:r>
      <w:r>
        <w:t xml:space="preserve"> </w:t>
      </w:r>
      <w:r>
        <w:rPr>
          <w:rStyle w:val="VerbatimChar"/>
        </w:rPr>
        <w:t xml:space="preserve">"dfmdfmdfmdfmdfmdfmdfm"</w:t>
      </w:r>
      <w:r>
        <w:t xml:space="preserve">) that read as leftover manual debugging</w:t>
      </w:r>
      <w:r>
        <w:t xml:space="preserve"> </w:t>
      </w:r>
      <w:r>
        <w:t xml:space="preserve">rather than intentional logging.</w:t>
      </w:r>
    </w:p>
    <w:bookmarkEnd w:id="26"/>
    <w:bookmarkEnd w:id="27"/>
    <w:bookmarkStart w:id="32" w:name="pdf-proxy"/>
    <w:p>
      <w:pPr>
        <w:pStyle w:val="Heading2"/>
      </w:pPr>
      <w:r>
        <w:t xml:space="preserve">2. PDF Proxy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pdf-proxy/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PdfProxyView</w:t>
            </w:r>
          </w:p>
        </w:tc>
      </w:tr>
    </w:tbl>
    <w:bookmarkStart w:id="28" w:name="what-this-api-is-for-1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Browsers block a webpage from directly embedding a PDF hosted on a</w:t>
      </w:r>
      <w:r>
        <w:t xml:space="preserve"> </w:t>
      </w:r>
      <w:r>
        <w:t xml:space="preserve">different domain (a cross-origin restriction). This endpoint works</w:t>
      </w:r>
      <w:r>
        <w:t xml:space="preserve"> </w:t>
      </w:r>
      <w:r>
        <w:t xml:space="preserve">around that: it fetches the PDF on the server’s behalf and serves it</w:t>
      </w:r>
      <w:r>
        <w:t xml:space="preserve"> </w:t>
      </w:r>
      <w:r>
        <w:t xml:space="preserve">back from the same origin as the rest of the site, so it can be</w:t>
      </w:r>
      <w:r>
        <w:t xml:space="preserve"> </w:t>
      </w:r>
      <w:r>
        <w:t xml:space="preserve">displayed inline.</w:t>
      </w:r>
    </w:p>
    <w:bookmarkEnd w:id="28"/>
    <w:bookmarkStart w:id="29" w:name="request-query-string"/>
    <w:p>
      <w:pPr>
        <w:pStyle w:val="Heading3"/>
      </w:pPr>
      <w:r>
        <w:t xml:space="preserve">Request (query string)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remote URL of the PDF to fetch and re-serve</w:t>
            </w:r>
          </w:p>
        </w:tc>
      </w:tr>
    </w:tbl>
    <w:bookmarkEnd w:id="29"/>
    <w:bookmarkStart w:id="30" w:name="how-it-works-step-by-step-1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3"/>
        </w:numPr>
        <w:pStyle w:val="Compact"/>
      </w:pPr>
      <w:r>
        <w:t xml:space="preserve">Read</w:t>
      </w:r>
      <w:r>
        <w:t xml:space="preserve"> </w:t>
      </w:r>
      <w:r>
        <w:rPr>
          <w:rStyle w:val="VerbatimChar"/>
        </w:rPr>
        <w:t xml:space="preserve">url</w:t>
      </w:r>
      <w:r>
        <w:t xml:space="preserve"> </w:t>
      </w:r>
      <w:r>
        <w:t xml:space="preserve">from the query string. If it’s missing, return a 404.</w:t>
      </w:r>
    </w:p>
    <w:p>
      <w:pPr>
        <w:numPr>
          <w:ilvl w:val="0"/>
          <w:numId w:val="1003"/>
        </w:numPr>
        <w:pStyle w:val="Compact"/>
      </w:pPr>
      <w:r>
        <w:t xml:space="preserve">Make an HTTP request to that URL (with a browser-like User-Agent</w:t>
      </w:r>
      <w:r>
        <w:t xml:space="preserve"> </w:t>
      </w:r>
      <w:r>
        <w:t xml:space="preserve">header, a 30-second timeout).</w:t>
      </w:r>
    </w:p>
    <w:p>
      <w:pPr>
        <w:numPr>
          <w:ilvl w:val="0"/>
          <w:numId w:val="1003"/>
        </w:numPr>
        <w:pStyle w:val="Compact"/>
      </w:pPr>
      <w:r>
        <w:t xml:space="preserve">If the fetch didn’t succeed, return a 404.</w:t>
      </w:r>
    </w:p>
    <w:p>
      <w:pPr>
        <w:numPr>
          <w:ilvl w:val="0"/>
          <w:numId w:val="1003"/>
        </w:numPr>
        <w:pStyle w:val="Compact"/>
      </w:pPr>
      <w:r>
        <w:t xml:space="preserve">Otherwise, stream the fetched content straight back to the caller,</w:t>
      </w:r>
      <w:r>
        <w:t xml:space="preserve"> </w:t>
      </w:r>
      <w:r>
        <w:t xml:space="preserve">tagged as</w:t>
      </w:r>
      <w:r>
        <w:t xml:space="preserve"> </w:t>
      </w:r>
      <w:r>
        <w:rPr>
          <w:rStyle w:val="VerbatimChar"/>
        </w:rPr>
        <w:t xml:space="preserve">application/pdf</w:t>
      </w:r>
      <w:r>
        <w:t xml:space="preserve">, with a wide-open CORS header</w:t>
      </w:r>
      <w:r>
        <w:t xml:space="preserve"> </w:t>
      </w:r>
      <w:r>
        <w:t xml:space="preserve">(</w:t>
      </w:r>
      <w:r>
        <w:rPr>
          <w:rStyle w:val="VerbatimChar"/>
        </w:rPr>
        <w:t xml:space="preserve">Access-Control-Allow-Origin: *</w:t>
      </w:r>
      <w:r>
        <w:t xml:space="preserve">) so any page can embed it.</w:t>
      </w:r>
    </w:p>
    <w:bookmarkEnd w:id="30"/>
    <w:bookmarkStart w:id="31" w:name="X4cce1aa1a0633a3c6c60a8bd6bd5f5983a32ddc"/>
    <w:p>
      <w:pPr>
        <w:pStyle w:val="Heading3"/>
      </w:pPr>
      <w:r>
        <w:t xml:space="preserve">Notes / issues found — this is a genuine security concern worth prioritizing</w:t>
      </w:r>
    </w:p>
    <w:p>
      <w:pPr>
        <w:pStyle w:val="FirstParagraph"/>
      </w:pPr>
      <w:r>
        <w:rPr>
          <w:bCs/>
          <w:b/>
        </w:rPr>
        <w:t xml:space="preserve">This endpoint will fetch any URL it’s given, with no restriction on</w:t>
      </w:r>
      <w:r>
        <w:rPr>
          <w:bCs/>
          <w:b/>
        </w:rPr>
        <w:t xml:space="preserve"> </w:t>
      </w:r>
      <w:r>
        <w:rPr>
          <w:bCs/>
          <w:b/>
        </w:rPr>
        <w:t xml:space="preserve">which hosts are allowed.</w:t>
      </w:r>
      <w:r>
        <w:t xml:space="preserve"> </w:t>
      </w:r>
      <w:r>
        <w:t xml:space="preserve">There’s no check limiting</w:t>
      </w:r>
      <w:r>
        <w:t xml:space="preserve"> </w:t>
      </w:r>
      <w:r>
        <w:rPr>
          <w:rStyle w:val="VerbatimChar"/>
        </w:rPr>
        <w:t xml:space="preserve">url</w:t>
      </w:r>
      <w:r>
        <w:t xml:space="preserve"> </w:t>
      </w:r>
      <w:r>
        <w:t xml:space="preserve">to a</w:t>
      </w:r>
      <w:r>
        <w:t xml:space="preserve"> </w:t>
      </w:r>
      <w:r>
        <w:t xml:space="preserve">known, trusted set of domains (like this application’s own file</w:t>
      </w:r>
      <w:r>
        <w:t xml:space="preserve"> </w:t>
      </w:r>
      <w:r>
        <w:t xml:space="preserve">storage). A caller can ask this server to fetch</w:t>
      </w:r>
      <w:r>
        <w:t xml:space="preserve"> </w:t>
      </w:r>
      <w:r>
        <w:rPr>
          <w:iCs/>
          <w:i/>
        </w:rPr>
        <w:t xml:space="preserve">any</w:t>
      </w:r>
      <w:r>
        <w:t xml:space="preserve"> </w:t>
      </w:r>
      <w:r>
        <w:t xml:space="preserve">address —</w:t>
      </w:r>
      <w:r>
        <w:t xml:space="preserve"> </w:t>
      </w:r>
      <w:r>
        <w:t xml:space="preserve">including internal services on the same network that wouldn’t</w:t>
      </w:r>
      <w:r>
        <w:t xml:space="preserve"> </w:t>
      </w:r>
      <w:r>
        <w:t xml:space="preserve">normally be reachable from outside, or cloud infrastructure endpoints</w:t>
      </w:r>
      <w:r>
        <w:t xml:space="preserve"> </w:t>
      </w:r>
      <w:r>
        <w:t xml:space="preserve">that are only accessible from inside the server’s own network. This</w:t>
      </w:r>
      <w:r>
        <w:t xml:space="preserve"> </w:t>
      </w:r>
      <w:r>
        <w:t xml:space="preserve">pattern is known as Server-Side Request Forgery (SSRF), and it’s</w:t>
      </w:r>
      <w:r>
        <w:t xml:space="preserve"> </w:t>
      </w:r>
      <w:r>
        <w:t xml:space="preserve">serious enough that it’s worth treating as a priority fix — alongside</w:t>
      </w:r>
      <w:r>
        <w:t xml:space="preserve"> </w:t>
      </w:r>
      <w:r>
        <w:t xml:space="preserve">the wide-open CORS header, which means whatever gets fetched is then</w:t>
      </w:r>
      <w:r>
        <w:t xml:space="preserve"> </w:t>
      </w:r>
      <w:r>
        <w:t xml:space="preserve">freely readable from any other website too. The endpoint also doesn’t</w:t>
      </w:r>
      <w:r>
        <w:t xml:space="preserve"> </w:t>
      </w:r>
      <w:r>
        <w:t xml:space="preserve">declare</w:t>
      </w:r>
      <w:r>
        <w:t xml:space="preserve"> </w:t>
      </w:r>
      <w:r>
        <w:rPr>
          <w:rStyle w:val="VerbatimChar"/>
        </w:rPr>
        <w:t xml:space="preserve">permission_classes</w:t>
      </w:r>
      <w:r>
        <w:t xml:space="preserve">, so it’s worth double-checking whether</w:t>
      </w:r>
      <w:r>
        <w:t xml:space="preserve"> </w:t>
      </w:r>
      <w:r>
        <w:t xml:space="preserve">it even requires login before it can be used this way.</w:t>
      </w:r>
    </w:p>
    <w:bookmarkEnd w:id="31"/>
    <w:bookmarkEnd w:id="32"/>
    <w:bookmarkStart w:id="38" w:name="revert-smp"/>
    <w:p>
      <w:pPr>
        <w:pStyle w:val="Heading2"/>
      </w:pPr>
      <w:r>
        <w:t xml:space="preserve">3. Revert SMP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RevertSmpbutton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· runs inside a database</w:t>
            </w:r>
            <w:r>
              <w:t xml:space="preserve"> </w:t>
            </w:r>
            <w:r>
              <w:t xml:space="preserve">transaction</w:t>
            </w:r>
            <w:r>
              <w:t xml:space="preserve"> </w:t>
            </w:r>
            <w:r>
              <w:rPr>
                <w:rStyle w:val="VerbatimChar"/>
              </w:rPr>
              <w:t xml:space="preserve">RevertSmpbutton</w:t>
            </w:r>
          </w:p>
        </w:tc>
      </w:tr>
    </w:tbl>
    <w:bookmarkStart w:id="33" w:name="what-this-api-is-for-2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Undoes an SMP flag — used if a flag was raised by mistake, or a</w:t>
      </w:r>
      <w:r>
        <w:t xml:space="preserve"> </w:t>
      </w:r>
      <w:r>
        <w:t xml:space="preserve">review concludes it wasn’t actually malpractice.</w:t>
      </w:r>
    </w:p>
    <w:bookmarkEnd w:id="33"/>
    <w:bookmarkStart w:id="34" w:name="request-1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candidate’s SMP flag to revert</w:t>
            </w:r>
          </w:p>
        </w:tc>
      </w:tr>
    </w:tbl>
    <w:bookmarkEnd w:id="34"/>
    <w:bookmarkStart w:id="35" w:name="how-it-works-step-by-step-2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4"/>
        </w:numPr>
        <w:pStyle w:val="Compact"/>
      </w:pPr>
      <w:r>
        <w:t xml:space="preserve">Read</w:t>
      </w:r>
      <w:r>
        <w:t xml:space="preserve"> </w:t>
      </w:r>
      <w:r>
        <w:rPr>
          <w:rStyle w:val="VerbatimChar"/>
        </w:rPr>
        <w:t xml:space="preserve">dfm_id</w:t>
      </w:r>
      <w:r>
        <w:t xml:space="preserve"> </w:t>
      </w:r>
      <w:r>
        <w:t xml:space="preserve">directly from the request (see the note below about</w:t>
      </w:r>
      <w:r>
        <w:t xml:space="preserve"> </w:t>
      </w:r>
      <w:r>
        <w:t xml:space="preserve">what happens if it’s missing).</w:t>
      </w:r>
    </w:p>
    <w:p>
      <w:pPr>
        <w:numPr>
          <w:ilvl w:val="0"/>
          <w:numId w:val="1004"/>
        </w:numPr>
        <w:pStyle w:val="Compact"/>
      </w:pPr>
      <w:r>
        <w:t xml:space="preserve">Find the candidate’s</w:t>
      </w:r>
      <w:r>
        <w:t xml:space="preserve"> </w:t>
      </w:r>
      <w:r>
        <w:rPr>
          <w:rStyle w:val="VerbatimChar"/>
        </w:rPr>
        <w:t xml:space="preserve">ScannedAnswersheet</w:t>
      </w:r>
      <w:r>
        <w:t xml:space="preserve">, then the most recent</w:t>
      </w:r>
      <w:r>
        <w:t xml:space="preserve"> </w:t>
      </w:r>
      <w:r>
        <w:rPr>
          <w:rStyle w:val="VerbatimChar"/>
        </w:rPr>
        <w:t xml:space="preserve">ExaminerScannedAnswersheet</w:t>
      </w:r>
      <w:r>
        <w:t xml:space="preserve"> </w:t>
      </w:r>
      <w:r>
        <w:t xml:space="preserve">row for it that’s currently in</w:t>
      </w:r>
      <w:r>
        <w:t xml:space="preserve"> </w:t>
      </w:r>
      <w:r>
        <w:rPr>
          <w:rStyle w:val="VerbatimChar"/>
        </w:rPr>
        <w:t xml:space="preserve">SMP_STATE</w:t>
      </w:r>
      <w:r>
        <w:t xml:space="preserve">. If there isn’t one, return</w:t>
      </w:r>
      <w:r>
        <w:t xml:space="preserve"> </w:t>
      </w:r>
      <w:r>
        <w:t xml:space="preserve">“</w:t>
      </w:r>
      <w:r>
        <w:t xml:space="preserve">No SMP record found.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Move that row’s status back to</w:t>
      </w:r>
      <w:r>
        <w:t xml:space="preserve"> </w:t>
      </w:r>
      <w:r>
        <w:rPr>
          <w:rStyle w:val="VerbatimChar"/>
        </w:rPr>
        <w:t xml:space="preserve">ALLOCATED</w:t>
      </w:r>
      <w:r>
        <w:t xml:space="preserve"> </w:t>
      </w:r>
      <w:r>
        <w:t xml:space="preserve">(i.e. back to a normal,</w:t>
      </w:r>
      <w:r>
        <w:t xml:space="preserve"> </w:t>
      </w:r>
      <w:r>
        <w:t xml:space="preserve">in-progress evaluation state).</w:t>
      </w:r>
    </w:p>
    <w:p>
      <w:pPr>
        <w:numPr>
          <w:ilvl w:val="0"/>
          <w:numId w:val="1004"/>
        </w:numPr>
        <w:pStyle w:val="Compact"/>
      </w:pPr>
      <w:r>
        <w:t xml:space="preserve">Delete any</w:t>
      </w:r>
      <w:r>
        <w:t xml:space="preserve"> </w:t>
      </w:r>
      <w:r>
        <w:rPr>
          <w:rStyle w:val="VerbatimChar"/>
        </w:rPr>
        <w:t xml:space="preserve">SmpReport</w:t>
      </w:r>
      <w:r>
        <w:t xml:space="preserve"> </w:t>
      </w:r>
      <w:r>
        <w:t xml:space="preserve">rows for this candidate (see the note above</w:t>
      </w:r>
      <w:r>
        <w:t xml:space="preserve"> </w:t>
      </w:r>
      <w:r>
        <w:t xml:space="preserve">about why this is currently a no-op), and delete the</w:t>
      </w:r>
      <w:r>
        <w:t xml:space="preserve"> </w:t>
      </w:r>
      <w:r>
        <w:rPr>
          <w:rStyle w:val="VerbatimChar"/>
        </w:rPr>
        <w:t xml:space="preserve">Smpstatushistory</w:t>
      </w:r>
      <w:r>
        <w:t xml:space="preserve"> </w:t>
      </w:r>
      <w:r>
        <w:t xml:space="preserve">entries logging the original flag.</w:t>
      </w:r>
    </w:p>
    <w:p>
      <w:pPr>
        <w:numPr>
          <w:ilvl w:val="0"/>
          <w:numId w:val="1004"/>
        </w:numPr>
        <w:pStyle w:val="Compact"/>
      </w:pPr>
      <w:r>
        <w:t xml:space="preserve">Return success.</w:t>
      </w:r>
    </w:p>
    <w:bookmarkEnd w:id="35"/>
    <w:bookmarkStart w:id="36" w:name="response-1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"Fetched successfully", "data": {}, "status_code": 201}</w:t>
      </w:r>
      <w:r>
        <w:br/>
      </w:r>
      <w:r>
        <w:br/>
      </w:r>
      <w:r>
        <w:rPr>
          <w:rStyle w:val="VerbatimChar"/>
        </w:rPr>
        <w:t xml:space="preserve">// no active SMP flag found:</w:t>
      </w:r>
      <w:r>
        <w:br/>
      </w:r>
      <w:r>
        <w:rPr>
          <w:rStyle w:val="VerbatimChar"/>
        </w:rPr>
        <w:t xml:space="preserve">{"status": false, "message": "No SMP record found", "data": {}, "status_code": 400}</w:t>
      </w:r>
    </w:p>
    <w:bookmarkEnd w:id="36"/>
    <w:bookmarkStart w:id="37" w:name="notes-issues-found-1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Unlike endpoint #1 (which checks for a missing</w:t>
      </w:r>
      <w:r>
        <w:t xml:space="preserve"> </w:t>
      </w:r>
      <w:r>
        <w:rPr>
          <w:rStyle w:val="VerbatimChar"/>
        </w:rPr>
        <w:t xml:space="preserve">comment</w:t>
      </w:r>
      <w:r>
        <w:t xml:space="preserve"> </w:t>
      </w:r>
      <w:r>
        <w:t xml:space="preserve">explicitly),</w:t>
      </w:r>
      <w:r>
        <w:t xml:space="preserve"> </w:t>
      </w:r>
      <w:r>
        <w:rPr>
          <w:rStyle w:val="VerbatimChar"/>
        </w:rPr>
        <w:t xml:space="preserve">dfm_id</w:t>
      </w:r>
      <w:r>
        <w:t xml:space="preserve"> </w:t>
      </w:r>
      <w:r>
        <w:t xml:space="preserve">here is read with direct dictionary access</w:t>
      </w:r>
      <w:r>
        <w:t xml:space="preserve"> </w:t>
      </w:r>
      <w:r>
        <w:t xml:space="preserve">(</w:t>
      </w:r>
      <w:r>
        <w:rPr>
          <w:rStyle w:val="VerbatimChar"/>
        </w:rPr>
        <w:t xml:space="preserve">request.data["dfm_id"]</w:t>
      </w:r>
      <w:r>
        <w:t xml:space="preserve">) rather than</w:t>
      </w:r>
      <w:r>
        <w:t xml:space="preserve"> </w:t>
      </w:r>
      <w:r>
        <w:rPr>
          <w:rStyle w:val="VerbatimChar"/>
        </w:rPr>
        <w:t xml:space="preserve">.get(...)</w:t>
      </w:r>
      <w:r>
        <w:t xml:space="preserve"> </w:t>
      </w:r>
      <w:r>
        <w:t xml:space="preserve">— if it’s missing</w:t>
      </w:r>
      <w:r>
        <w:t xml:space="preserve"> </w:t>
      </w:r>
      <w:r>
        <w:t xml:space="preserve">from the request, this raises an error immediately rather than a</w:t>
      </w:r>
      <w:r>
        <w:t xml:space="preserve"> </w:t>
      </w:r>
      <w:r>
        <w:t xml:space="preserve">specific</w:t>
      </w:r>
      <w:r>
        <w:t xml:space="preserve"> </w:t>
      </w:r>
      <w:r>
        <w:t xml:space="preserve">“</w:t>
      </w:r>
      <w:r>
        <w:t xml:space="preserve">dfm_id is required</w:t>
      </w:r>
      <w:r>
        <w:t xml:space="preserve">”</w:t>
      </w:r>
      <w:r>
        <w:t xml:space="preserve"> </w:t>
      </w:r>
      <w:r>
        <w:t xml:space="preserve">message, and it falls through to the</w:t>
      </w:r>
      <w:r>
        <w:t xml:space="preserve"> </w:t>
      </w:r>
      <w:r>
        <w:t xml:space="preserve">same generic failure response used for a real server error.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2026-08-28T05:14:11Z</dcterms:created>
  <dcterms:modified xsi:type="dcterms:W3CDTF">2026-08-28T05:14:11Z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