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0" w:name="student-payment-transaction-history-apis"/>
    <w:p>
      <w:pPr>
        <w:pStyle w:val="Heading1"/>
      </w:pPr>
      <w:r>
        <w:t xml:space="preserve">Student Payment / Transaction History APIs</w:t>
      </w:r>
    </w:p>
    <w:p>
      <w:pPr>
        <w:pStyle w:val="FirstParagraph"/>
      </w:pPr>
      <w:r>
        <w:t xml:space="preserve">Source file:</w:t>
      </w:r>
      <w:r>
        <w:t xml:space="preserve"> </w:t>
      </w:r>
      <w:r>
        <w:rPr>
          <w:rStyle w:val="VerbatimChar"/>
        </w:rPr>
        <w:t xml:space="preserve">payment/payment.py</w:t>
      </w:r>
      <w:r>
        <w:t xml:space="preserve"> </w:t>
      </w:r>
      <w:r>
        <w:t xml:space="preserve">URL mapping:</w:t>
      </w:r>
      <w:r>
        <w:t xml:space="preserve"> </w:t>
      </w:r>
      <w:r>
        <w:rPr>
          <w:rStyle w:val="VerbatimChar"/>
        </w:rPr>
        <w:t xml:space="preserve">payment/urls.py</w:t>
      </w:r>
    </w:p>
    <w:bookmarkStart w:id="20" w:name="what-this-module-is-for"/>
    <w:p>
      <w:pPr>
        <w:pStyle w:val="Heading2"/>
      </w:pPr>
      <w:r>
        <w:t xml:space="preserve">What this module is for</w:t>
      </w:r>
    </w:p>
    <w:p>
      <w:pPr>
        <w:pStyle w:val="FirstParagraph"/>
      </w:pPr>
      <w:r>
        <w:t xml:space="preserve">Lets a student view their exam-registration payment/transaction</w:t>
      </w:r>
      <w:r>
        <w:t xml:space="preserve"> </w:t>
      </w:r>
      <w:r>
        <w:t xml:space="preserve">history: programme→semester dropdowns, all transactions for a</w:t>
      </w:r>
      <w:r>
        <w:t xml:space="preserve"> </w:t>
      </w:r>
      <w:r>
        <w:t xml:space="preserve">programme/semester, one specific transaction, and (via</w:t>
      </w:r>
      <w:r>
        <w:t xml:space="preserve"> </w:t>
      </w:r>
      <w:r>
        <w:rPr>
          <w:rStyle w:val="VerbatimChar"/>
        </w:rPr>
        <w:t xml:space="preserve">PrintReceipt</w:t>
      </w:r>
      <w:r>
        <w:t xml:space="preserve"> </w:t>
      </w:r>
      <w:r>
        <w:t xml:space="preserve">— not currently wired to a URL) a formatted receipt print view.</w:t>
      </w:r>
    </w:p>
    <w:p>
      <w:pPr>
        <w:pStyle w:val="BodyText"/>
      </w:pPr>
      <w:r>
        <w:t xml:space="preserve">Like</w:t>
      </w:r>
      <w:r>
        <w:t xml:space="preserve"> </w:t>
      </w:r>
      <w:r>
        <w:rPr>
          <w:rStyle w:val="VerbatimChar"/>
        </w:rPr>
        <w:t xml:space="preserve">camp_mgmt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online_evaluation</w:t>
      </w:r>
      <w:r>
        <w:t xml:space="preserve">, this file uses the shared</w:t>
      </w:r>
      <w:r>
        <w:t xml:space="preserve"> </w:t>
      </w:r>
      <w:r>
        <w:rPr>
          <w:rStyle w:val="VerbatimChar"/>
        </w:rPr>
        <w:t xml:space="preserve">format_response()</w:t>
      </w:r>
      <w:r>
        <w:t xml:space="preserve"> </w:t>
      </w:r>
      <w:r>
        <w:t xml:space="preserve">helper (</w:t>
      </w:r>
      <w:r>
        <w:rPr>
          <w:rStyle w:val="VerbatimChar"/>
        </w:rPr>
        <w:t xml:space="preserve">{status, message, data, status_code}</w:t>
      </w:r>
      <w:r>
        <w:t xml:space="preserve">).</w:t>
      </w:r>
    </w:p>
    <w:bookmarkEnd w:id="20"/>
    <w:bookmarkStart w:id="21" w:name="X10002ef3a843d6f59da15c4130f6573f957fd12"/>
    <w:p>
      <w:pPr>
        <w:pStyle w:val="Heading2"/>
      </w:pPr>
      <w:r>
        <w:t xml:space="preserve">⚠️ No</w:t>
      </w:r>
      <w:r>
        <w:t xml:space="preserve"> </w:t>
      </w:r>
      <w:r>
        <w:rPr>
          <w:rStyle w:val="VerbatimChar"/>
        </w:rPr>
        <w:t xml:space="preserve">permission_classes</w:t>
      </w:r>
      <w:r>
        <w:t xml:space="preserve"> </w:t>
      </w:r>
      <w:r>
        <w:t xml:space="preserve">on any class in this file</w:t>
      </w:r>
    </w:p>
    <w:p>
      <w:pPr>
        <w:pStyle w:val="FirstParagraph"/>
      </w:pPr>
      <w:r>
        <w:t xml:space="preserve">None of the four classes declare</w:t>
      </w:r>
      <w:r>
        <w:t xml:space="preserve"> </w:t>
      </w:r>
      <w:r>
        <w:rPr>
          <w:rStyle w:val="VerbatimChar"/>
        </w:rPr>
        <w:t xml:space="preserve">permission_classes</w:t>
      </w:r>
      <w:r>
        <w:t xml:space="preserve"> </w:t>
      </w:r>
      <w:r>
        <w:t xml:space="preserve">— falls back</w:t>
      </w:r>
      <w:r>
        <w:t xml:space="preserve"> </w:t>
      </w:r>
      <w:r>
        <w:t xml:space="preserve">to the project-wide DRF default. Since every endpoint here reads</w:t>
      </w:r>
      <w:r>
        <w:t xml:space="preserve"> </w:t>
      </w:r>
      <w:r>
        <w:rPr>
          <w:rStyle w:val="VerbatimChar"/>
        </w:rPr>
        <w:t xml:space="preserve">request.user</w:t>
      </w:r>
      <w:r>
        <w:t xml:space="preserve"> </w:t>
      </w:r>
      <w:r>
        <w:t xml:space="preserve">directly to scope results to</w:t>
      </w:r>
      <w:r>
        <w:t xml:space="preserve"> </w:t>
      </w:r>
      <w:r>
        <w:t xml:space="preserve">“</w:t>
      </w:r>
      <w:r>
        <w:t xml:space="preserve">my own</w:t>
      </w:r>
      <w:r>
        <w:t xml:space="preserve">”</w:t>
      </w:r>
      <w:r>
        <w:t xml:space="preserve"> </w:t>
      </w:r>
      <w:r>
        <w:t xml:space="preserve">payment</w:t>
      </w:r>
      <w:r>
        <w:t xml:space="preserve"> </w:t>
      </w:r>
      <w:r>
        <w:t xml:space="preserve">history, it’s worth confirming the default actually requires</w:t>
      </w:r>
      <w:r>
        <w:t xml:space="preserve"> </w:t>
      </w:r>
      <w:r>
        <w:t xml:space="preserve">authentication — otherwise an anonymous request could raise an</w:t>
      </w:r>
      <w:r>
        <w:t xml:space="preserve"> </w:t>
      </w:r>
      <w:r>
        <w:t xml:space="preserve">unhandled error reading</w:t>
      </w:r>
      <w:r>
        <w:t xml:space="preserve"> </w:t>
      </w:r>
      <w:r>
        <w:rPr>
          <w:rStyle w:val="VerbatimChar"/>
        </w:rPr>
        <w:t xml:space="preserve">request.user</w:t>
      </w:r>
      <w:r>
        <w:t xml:space="preserve">, or (depending on the</w:t>
      </w:r>
      <w:r>
        <w:t xml:space="preserve"> </w:t>
      </w:r>
      <w:r>
        <w:t xml:space="preserve">project’s anonymous-user handling) behave unpredictably rather than</w:t>
      </w:r>
      <w:r>
        <w:t xml:space="preserve"> </w:t>
      </w:r>
      <w:r>
        <w:t xml:space="preserve">cleanly reject.</w:t>
      </w:r>
    </w:p>
    <w:bookmarkEnd w:id="21"/>
    <w:bookmarkStart w:id="22" w:name="transaction-detail-view-context"/>
    <w:p>
      <w:pPr>
        <w:pStyle w:val="Heading2"/>
      </w:pPr>
      <w:r>
        <w:t xml:space="preserve">1. Transaction Detail View — Context</w:t>
      </w:r>
    </w:p>
    <w:tbl>
      <w:tblPr>
        <w:tblStyle w:val="Table"/>
        <w:tblW w:type="pct" w:w="4865"/>
        <w:tblLook w:firstRow="0" w:lastRow="0" w:firstColumn="0" w:lastColumn="0" w:noHBand="0" w:noVBand="0" w:val="0000"/>
        <w:jc w:val="start"/>
      </w:tblPr>
      <w:tblGrid>
        <w:gridCol w:w="3852"/>
        <w:gridCol w:w="3852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transaction-detail-view/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View class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TransactionDetailsView</w:t>
            </w:r>
          </w:p>
        </w:tc>
      </w:tr>
    </w:tbl>
    <w:p>
      <w:pPr>
        <w:pStyle w:val="BodyText"/>
      </w:pPr>
      <w:r>
        <w:t xml:space="preserve">Returns every</w:t>
      </w:r>
      <w:r>
        <w:t xml:space="preserve"> </w:t>
      </w:r>
      <w:r>
        <w:rPr>
          <w:rStyle w:val="VerbatimChar"/>
        </w:rPr>
        <w:t xml:space="preserve">StudentSemester</w:t>
      </w:r>
      <w:r>
        <w:t xml:space="preserve"> </w:t>
      </w:r>
      <w:r>
        <w:t xml:space="preserve">(i.e. programme enrollment) tied to</w:t>
      </w:r>
      <w:r>
        <w:t xml:space="preserve"> </w:t>
      </w:r>
      <w:r>
        <w:t xml:space="preserve">the logged-in user, for populating the initial programme dropdown.</w:t>
      </w:r>
    </w:p>
    <w:bookmarkEnd w:id="22"/>
    <w:bookmarkStart w:id="23" w:name="programme-wise-semester-list"/>
    <w:p>
      <w:pPr>
        <w:pStyle w:val="Heading2"/>
      </w:pPr>
      <w:r>
        <w:t xml:space="preserve">2. Programme-wise Semester List</w:t>
      </w:r>
    </w:p>
    <w:tbl>
      <w:tblPr>
        <w:tblStyle w:val="Table"/>
        <w:tblW w:type="pct" w:w="4865"/>
        <w:tblLook w:firstRow="0" w:lastRow="0" w:firstColumn="0" w:lastColumn="0" w:noHBand="0" w:noVBand="0" w:val="0000"/>
        <w:jc w:val="start"/>
      </w:tblPr>
      <w:tblGrid>
        <w:gridCol w:w="3852"/>
        <w:gridCol w:w="3852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prg_wise_semester/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View class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ProgrammeWiseSemester</w:t>
            </w:r>
          </w:p>
        </w:tc>
      </w:tr>
    </w:tbl>
    <w:p>
      <w:pPr>
        <w:pStyle w:val="BodyText"/>
      </w:pPr>
      <w:r>
        <w:t xml:space="preserve">Given</w:t>
      </w:r>
      <w:r>
        <w:t xml:space="preserve"> </w:t>
      </w:r>
      <w:r>
        <w:rPr>
          <w:rStyle w:val="VerbatimChar"/>
        </w:rPr>
        <w:t xml:space="preserve">prgm</w:t>
      </w:r>
      <w:r>
        <w:t xml:space="preserve">, returns that programme’s semesters. No validation on a</w:t>
      </w:r>
      <w:r>
        <w:t xml:space="preserve"> </w:t>
      </w:r>
      <w:r>
        <w:t xml:space="preserve">missing/invalid</w:t>
      </w:r>
      <w:r>
        <w:t xml:space="preserve"> </w:t>
      </w:r>
      <w:r>
        <w:rPr>
          <w:rStyle w:val="VerbatimChar"/>
        </w:rPr>
        <w:t xml:space="preserve">prgm</w:t>
      </w:r>
      <w:r>
        <w:t xml:space="preserve"> </w:t>
      </w:r>
      <w:r>
        <w:t xml:space="preserve">— simply returns an empty list rather than a</w:t>
      </w:r>
      <w:r>
        <w:t xml:space="preserve"> </w:t>
      </w:r>
      <w:r>
        <w:t xml:space="preserve">specific error.</w:t>
      </w:r>
    </w:p>
    <w:bookmarkEnd w:id="23"/>
    <w:bookmarkStart w:id="27" w:name="all-transaction-details"/>
    <w:p>
      <w:pPr>
        <w:pStyle w:val="Heading2"/>
      </w:pPr>
      <w:r>
        <w:t xml:space="preserve">3. All Transaction Details</w:t>
      </w:r>
    </w:p>
    <w:tbl>
      <w:tblPr>
        <w:tblStyle w:val="Table"/>
        <w:tblW w:type="pct" w:w="4865"/>
        <w:tblLook w:firstRow="0" w:lastRow="0" w:firstColumn="0" w:lastColumn="0" w:noHBand="0" w:noVBand="0" w:val="0000"/>
        <w:jc w:val="start"/>
      </w:tblPr>
      <w:tblGrid>
        <w:gridCol w:w="3852"/>
        <w:gridCol w:w="3852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all_transaction_details_view/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View class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AllTransactionDetails</w:t>
            </w:r>
          </w:p>
        </w:tc>
      </w:tr>
    </w:tbl>
    <w:bookmarkStart w:id="24" w:name="what-it-does"/>
    <w:p>
      <w:pPr>
        <w:pStyle w:val="Heading3"/>
      </w:pPr>
      <w:r>
        <w:t xml:space="preserve">What it does</w:t>
      </w:r>
    </w:p>
    <w:p>
      <w:pPr>
        <w:pStyle w:val="FirstParagraph"/>
      </w:pPr>
      <w:r>
        <w:t xml:space="preserve">Given</w:t>
      </w:r>
      <w:r>
        <w:t xml:space="preserve"> </w:t>
      </w:r>
      <w:r>
        <w:rPr>
          <w:rStyle w:val="VerbatimChar"/>
        </w:rPr>
        <w:t xml:space="preserve">prgm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semester</w:t>
      </w:r>
      <w:r>
        <w:t xml:space="preserve">, returns every payment transaction for the</w:t>
      </w:r>
      <w:r>
        <w:t xml:space="preserve"> </w:t>
      </w:r>
      <w:r>
        <w:t xml:space="preserve">logged-in user’s exam registrations in that programme/semester, and</w:t>
      </w:r>
      <w:r>
        <w:t xml:space="preserve"> </w:t>
      </w:r>
      <w:r>
        <w:t xml:space="preserve">for each one tries to label it with a</w:t>
      </w:r>
      <w:r>
        <w:t xml:space="preserve"> </w:t>
      </w:r>
      <w:r>
        <w:rPr>
          <w:rStyle w:val="VerbatimChar"/>
        </w:rPr>
        <w:t xml:space="preserve">fee_type</w:t>
      </w:r>
      <w:r>
        <w:t xml:space="preserve"> </w:t>
      </w:r>
      <w:r>
        <w:t xml:space="preserve">— either</w:t>
      </w:r>
      <w:r>
        <w:t xml:space="preserve"> </w:t>
      </w:r>
      <w:r>
        <w:rPr>
          <w:rStyle w:val="VerbatimChar"/>
        </w:rPr>
        <w:t xml:space="preserve">"Exam Registration"</w:t>
      </w:r>
      <w:r>
        <w:t xml:space="preserve">, or (if the payment is linked to a</w:t>
      </w:r>
      <w:r>
        <w:t xml:space="preserve"> </w:t>
      </w:r>
      <w:r>
        <w:rPr>
          <w:rStyle w:val="VerbatimChar"/>
        </w:rPr>
        <w:t xml:space="preserve">RevaluationPaymentStatus</w:t>
      </w:r>
      <w:r>
        <w:t xml:space="preserve"> </w:t>
      </w:r>
      <w:r>
        <w:t xml:space="preserve">row) the specific revaluation application</w:t>
      </w:r>
      <w:r>
        <w:t xml:space="preserve"> </w:t>
      </w:r>
      <w:r>
        <w:t xml:space="preserve">type.</w:t>
      </w:r>
    </w:p>
    <w:bookmarkEnd w:id="24"/>
    <w:bookmarkStart w:id="25" w:name="X8b3107376504bfeb92047650ce8dc64413cc9a2"/>
    <w:p>
      <w:pPr>
        <w:pStyle w:val="Heading3"/>
      </w:pPr>
      <w:r>
        <w:t xml:space="preserve">🔴 The revaluation fee-type label can never actually resolve</w:t>
      </w:r>
    </w:p>
    <w:p>
      <w:pPr>
        <w:pStyle w:val="SourceCode"/>
      </w:pPr>
      <w:r>
        <w:rPr>
          <w:rStyle w:val="NormalTok"/>
        </w:rPr>
        <w:t xml:space="preserve">type_appln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RevaluationPymtStatusSerializer(pystatus, many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).data</w:t>
      </w:r>
      <w:r>
        <w:br/>
      </w:r>
      <w:r>
        <w:rPr>
          <w:rStyle w:val="NormalTok"/>
        </w:rPr>
        <w:t xml:space="preserve">fee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type_appln.appln_type</w:t>
      </w:r>
    </w:p>
    <w:p>
      <w:pPr>
        <w:pStyle w:val="FirstParagraph"/>
      </w:pPr>
      <w:r>
        <w:rPr>
          <w:rStyle w:val="VerbatimChar"/>
        </w:rPr>
        <w:t xml:space="preserve">RevaluationPymtStatusSerializer(pystatus, many=True).data</w:t>
      </w:r>
      <w:r>
        <w:t xml:space="preserve"> </w:t>
      </w:r>
      <w:r>
        <w:t xml:space="preserve">is a</w:t>
      </w:r>
      <w:r>
        <w:t xml:space="preserve"> </w:t>
      </w:r>
      <w:r>
        <w:rPr>
          <w:bCs/>
          <w:b/>
        </w:rPr>
        <w:t xml:space="preserve">list</w:t>
      </w:r>
      <w:r>
        <w:t xml:space="preserve"> </w:t>
      </w:r>
      <w:r>
        <w:t xml:space="preserve">of serialized objects (since</w:t>
      </w:r>
      <w:r>
        <w:t xml:space="preserve"> </w:t>
      </w:r>
      <w:r>
        <w:rPr>
          <w:rStyle w:val="VerbatimChar"/>
        </w:rPr>
        <w:t xml:space="preserve">many=True</w:t>
      </w:r>
      <w:r>
        <w:t xml:space="preserve">), not a single</w:t>
      </w:r>
      <w:r>
        <w:t xml:space="preserve"> </w:t>
      </w:r>
      <w:r>
        <w:t xml:space="preserve">object — lists don’t have an</w:t>
      </w:r>
      <w:r>
        <w:t xml:space="preserve"> </w:t>
      </w:r>
      <w:r>
        <w:rPr>
          <w:rStyle w:val="VerbatimChar"/>
        </w:rPr>
        <w:t xml:space="preserve">.appln_type</w:t>
      </w:r>
      <w:r>
        <w:t xml:space="preserve"> </w:t>
      </w:r>
      <w:r>
        <w:t xml:space="preserve">attribute. This raises</w:t>
      </w:r>
      <w:r>
        <w:t xml:space="preserve"> </w:t>
      </w:r>
      <w:r>
        <w:rPr>
          <w:rStyle w:val="VerbatimChar"/>
        </w:rPr>
        <w:t xml:space="preserve">AttributeError</w:t>
      </w:r>
      <w:r>
        <w:t xml:space="preserve"> </w:t>
      </w:r>
      <w:r>
        <w:t xml:space="preserve">on every single transaction that</w:t>
      </w:r>
      <w:r>
        <w:t xml:space="preserve"> </w:t>
      </w:r>
      <w:r>
        <w:rPr>
          <w:iCs/>
          <w:i/>
        </w:rPr>
        <w:t xml:space="preserve">does</w:t>
      </w:r>
      <w:r>
        <w:t xml:space="preserve"> </w:t>
      </w:r>
      <w:r>
        <w:t xml:space="preserve">have a</w:t>
      </w:r>
      <w:r>
        <w:t xml:space="preserve"> </w:t>
      </w:r>
      <w:r>
        <w:t xml:space="preserve">matching</w:t>
      </w:r>
      <w:r>
        <w:t xml:space="preserve"> </w:t>
      </w:r>
      <w:r>
        <w:rPr>
          <w:rStyle w:val="VerbatimChar"/>
        </w:rPr>
        <w:t xml:space="preserve">RevaluationPaymentStatus</w:t>
      </w:r>
      <w:r>
        <w:t xml:space="preserve"> </w:t>
      </w:r>
      <w:r>
        <w:t xml:space="preserve">row, caught only by the generic</w:t>
      </w:r>
      <w:r>
        <w:t xml:space="preserve"> </w:t>
      </w:r>
      <w:r>
        <w:t xml:space="preserve">outer</w:t>
      </w:r>
      <w:r>
        <w:t xml:space="preserve"> </w:t>
      </w:r>
      <w:r>
        <w:rPr>
          <w:rStyle w:val="VerbatimChar"/>
        </w:rPr>
        <w:t xml:space="preserve">except Exception</w:t>
      </w:r>
      <w:r>
        <w:t xml:space="preserve"> </w:t>
      </w:r>
      <w:r>
        <w:t xml:space="preserve">— meaning the entire</w:t>
      </w:r>
      <w:r>
        <w:t xml:space="preserve"> </w:t>
      </w:r>
      <w:r>
        <w:rPr>
          <w:rStyle w:val="VerbatimChar"/>
        </w:rPr>
        <w:t xml:space="preserve">AllTransactionDetails</w:t>
      </w:r>
      <w:r>
        <w:t xml:space="preserve"> </w:t>
      </w:r>
      <w:r>
        <w:t xml:space="preserve">request fails with a generic</w:t>
      </w:r>
      <w:r>
        <w:t xml:space="preserve"> </w:t>
      </w:r>
      <w:r>
        <w:rPr>
          <w:rStyle w:val="VerbatimChar"/>
        </w:rPr>
        <w:t xml:space="preserve">BAD_GATEWAY</w:t>
      </w:r>
      <w:r>
        <w:t xml:space="preserve"> </w:t>
      </w:r>
      <w:r>
        <w:t xml:space="preserve">response whenever even</w:t>
      </w:r>
      <w:r>
        <w:t xml:space="preserve"> </w:t>
      </w:r>
      <w:r>
        <w:t xml:space="preserve">one of the student’s transactions happens to be revaluation-related,</w:t>
      </w:r>
      <w:r>
        <w:t xml:space="preserve"> </w:t>
      </w:r>
      <w:r>
        <w:t xml:space="preserve">rather than just that one transaction’s</w:t>
      </w:r>
      <w:r>
        <w:t xml:space="preserve"> </w:t>
      </w:r>
      <w:r>
        <w:rPr>
          <w:rStyle w:val="VerbatimChar"/>
        </w:rPr>
        <w:t xml:space="preserve">fee_type</w:t>
      </w:r>
      <w:r>
        <w:t xml:space="preserve"> </w:t>
      </w:r>
      <w:r>
        <w:t xml:space="preserve">being wrong. A</w:t>
      </w:r>
      <w:r>
        <w:t xml:space="preserve"> </w:t>
      </w:r>
      <w:r>
        <w:t xml:space="preserve">correct version would use</w:t>
      </w:r>
      <w:r>
        <w:t xml:space="preserve"> </w:t>
      </w:r>
      <w:r>
        <w:rPr>
          <w:rStyle w:val="VerbatimChar"/>
        </w:rPr>
        <w:t xml:space="preserve">type_appln[0]["appln_type"]</w:t>
      </w:r>
      <w:r>
        <w:t xml:space="preserve"> </w:t>
      </w:r>
      <w:r>
        <w:t xml:space="preserve">(or drop</w:t>
      </w:r>
      <w:r>
        <w:t xml:space="preserve"> </w:t>
      </w:r>
      <w:r>
        <w:rPr>
          <w:rStyle w:val="VerbatimChar"/>
        </w:rPr>
        <w:t xml:space="preserve">many=True</w:t>
      </w:r>
      <w:r>
        <w:t xml:space="preserve"> </w:t>
      </w:r>
      <w:r>
        <w:t xml:space="preserve">for this lookup, since it’s meant to resolve one status</w:t>
      </w:r>
      <w:r>
        <w:t xml:space="preserve"> </w:t>
      </w:r>
      <w:r>
        <w:t xml:space="preserve">row).</w:t>
      </w:r>
    </w:p>
    <w:bookmarkEnd w:id="25"/>
    <w:bookmarkStart w:id="26" w:name="Xd594ddaa598e71369f3489f0c094addca2b9962"/>
    <w:p>
      <w:pPr>
        <w:pStyle w:val="Heading3"/>
      </w:pPr>
      <w:r>
        <w:t xml:space="preserve">⚠️</w:t>
      </w:r>
      <w:r>
        <w:t xml:space="preserve"> </w:t>
      </w:r>
      <w:r>
        <w:rPr>
          <w:rStyle w:val="VerbatimChar"/>
        </w:rPr>
        <w:t xml:space="preserve">fee</w:t>
      </w:r>
      <w:r>
        <w:t xml:space="preserve"> </w:t>
      </w:r>
      <w:r>
        <w:t xml:space="preserve">isn’t reset per transaction before being checked</w:t>
      </w:r>
    </w:p>
    <w:p>
      <w:pPr>
        <w:pStyle w:val="SourceCode"/>
      </w:pPr>
      <w:r>
        <w:rPr>
          <w:rStyle w:val="NormalTok"/>
        </w:rPr>
        <w:t xml:space="preserve">fee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transaction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transaction_details_exam_reg: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key, value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transaction.items():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key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'system_unique_id'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...</w:t>
      </w:r>
      <w:r>
        <w:br/>
      </w:r>
      <w:r>
        <w:rPr>
          <w:rStyle w:val="NormalTok"/>
        </w:rPr>
        <w:t xml:space="preserve">    transaction[</w:t>
      </w:r>
      <w:r>
        <w:rPr>
          <w:rStyle w:val="StringTok"/>
        </w:rPr>
        <w:t xml:space="preserve">'fee_type'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fee</w:t>
      </w:r>
    </w:p>
    <w:p>
      <w:pPr>
        <w:pStyle w:val="FirstParagraph"/>
      </w:pPr>
      <w:r>
        <w:rPr>
          <w:rStyle w:val="VerbatimChar"/>
        </w:rPr>
        <w:t xml:space="preserve">fee</w:t>
      </w:r>
      <w:r>
        <w:t xml:space="preserve"> </w:t>
      </w:r>
      <w:r>
        <w:t xml:space="preserve">is declared once outside the loop; each transaction relies on</w:t>
      </w:r>
      <w:r>
        <w:t xml:space="preserve"> </w:t>
      </w:r>
      <w:r>
        <w:t xml:space="preserve">its own</w:t>
      </w:r>
      <w:r>
        <w:t xml:space="preserve"> </w:t>
      </w:r>
      <w:r>
        <w:rPr>
          <w:rStyle w:val="VerbatimChar"/>
        </w:rPr>
        <w:t xml:space="preserve">system_unique_id</w:t>
      </w:r>
      <w:r>
        <w:t xml:space="preserve"> </w:t>
      </w:r>
      <w:r>
        <w:t xml:space="preserve">key being present to recompute</w:t>
      </w:r>
      <w:r>
        <w:t xml:space="preserve"> </w:t>
      </w:r>
      <w:r>
        <w:rPr>
          <w:rStyle w:val="VerbatimChar"/>
        </w:rPr>
        <w:t xml:space="preserve">fee</w:t>
      </w:r>
      <w:r>
        <w:t xml:space="preserve"> </w:t>
      </w:r>
      <w:r>
        <w:t xml:space="preserve">before it’s assigned — reasonable in practice since every row should</w:t>
      </w:r>
      <w:r>
        <w:t xml:space="preserve"> </w:t>
      </w:r>
      <w:r>
        <w:t xml:space="preserve">have that key, but if it were ever missing for one row, that row</w:t>
      </w:r>
      <w:r>
        <w:t xml:space="preserve"> </w:t>
      </w:r>
      <w:r>
        <w:t xml:space="preserve">would silently inherit the</w:t>
      </w:r>
      <w:r>
        <w:t xml:space="preserve"> </w:t>
      </w:r>
      <w:r>
        <w:rPr>
          <w:iCs/>
          <w:i/>
        </w:rPr>
        <w:t xml:space="preserve">previous</w:t>
      </w:r>
      <w:r>
        <w:t xml:space="preserve"> </w:t>
      </w:r>
      <w:r>
        <w:t xml:space="preserve">transaction’s fee type rather</w:t>
      </w:r>
      <w:r>
        <w:t xml:space="preserve"> </w:t>
      </w:r>
      <w:r>
        <w:t xml:space="preserve">than getting its own.</w:t>
      </w:r>
    </w:p>
    <w:bookmarkEnd w:id="26"/>
    <w:bookmarkEnd w:id="27"/>
    <w:bookmarkStart w:id="28" w:name="single-transaction-detail"/>
    <w:p>
      <w:pPr>
        <w:pStyle w:val="Heading2"/>
      </w:pPr>
      <w:r>
        <w:t xml:space="preserve">4. Single Transaction Detail</w:t>
      </w:r>
    </w:p>
    <w:tbl>
      <w:tblPr>
        <w:tblStyle w:val="Table"/>
        <w:tblW w:type="pct" w:w="4865"/>
        <w:tblLook w:firstRow="0" w:lastRow="0" w:firstColumn="0" w:lastColumn="0" w:noHBand="0" w:noVBand="0" w:val="0000"/>
        <w:jc w:val="start"/>
      </w:tblPr>
      <w:tblGrid>
        <w:gridCol w:w="3852"/>
        <w:gridCol w:w="3852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single_transaction_detail/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View class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SingleTransactionDetail</w:t>
            </w:r>
          </w:p>
        </w:tc>
      </w:tr>
    </w:tbl>
    <w:p>
      <w:pPr>
        <w:pStyle w:val="BodyText"/>
      </w:pPr>
      <w:r>
        <w:t xml:space="preserve">Same shape as endpoint #3, narrowed further to one</w:t>
      </w:r>
      <w:r>
        <w:t xml:space="preserve"> </w:t>
      </w:r>
      <w:r>
        <w:rPr>
          <w:rStyle w:val="VerbatimChar"/>
        </w:rPr>
        <w:t xml:space="preserve">transid</w:t>
      </w:r>
      <w:r>
        <w:t xml:space="preserve"> </w:t>
      </w:r>
      <w:r>
        <w:t xml:space="preserve">— but</w:t>
      </w:r>
      <w:r>
        <w:t xml:space="preserve"> </w:t>
      </w:r>
      <w:r>
        <w:t xml:space="preserve">without the</w:t>
      </w:r>
      <w:r>
        <w:t xml:space="preserve"> </w:t>
      </w:r>
      <w:r>
        <w:rPr>
          <w:rStyle w:val="VerbatimChar"/>
        </w:rPr>
        <w:t xml:space="preserve">fee_type</w:t>
      </w:r>
      <w:r>
        <w:t xml:space="preserve"> </w:t>
      </w:r>
      <w:r>
        <w:t xml:space="preserve">resolution logic (and its bug) from endpoint</w:t>
      </w:r>
      <w:r>
        <w:t xml:space="preserve"> </w:t>
      </w:r>
      <w:r>
        <w:t xml:space="preserve">#3.</w:t>
      </w:r>
    </w:p>
    <w:bookmarkEnd w:id="28"/>
    <w:bookmarkStart w:id="29" w:name="printreceipt-defined-not-url-mapped"/>
    <w:p>
      <w:pPr>
        <w:pStyle w:val="Heading2"/>
      </w:pPr>
      <w:r>
        <w:rPr>
          <w:rStyle w:val="VerbatimChar"/>
        </w:rPr>
        <w:t xml:space="preserve">PrintReceipt</w:t>
      </w:r>
      <w:r>
        <w:t xml:space="preserve"> </w:t>
      </w:r>
      <w:r>
        <w:t xml:space="preserve">— defined, not URL-mapped</w:t>
      </w:r>
    </w:p>
    <w:p>
      <w:pPr>
        <w:pStyle w:val="FirstParagraph"/>
      </w:pPr>
      <w:r>
        <w:t xml:space="preserve">A fourth class in this file (receipt-print formatting, including</w:t>
      </w:r>
      <w:r>
        <w:t xml:space="preserve"> </w:t>
      </w:r>
      <w:r>
        <w:t xml:space="preserve">reformatting the transaction date to</w:t>
      </w:r>
      <w:r>
        <w:t xml:space="preserve"> </w:t>
      </w:r>
      <w:r>
        <w:rPr>
          <w:rStyle w:val="VerbatimChar"/>
        </w:rPr>
        <w:t xml:space="preserve">DD-MM-YYYY</w:t>
      </w:r>
      <w:r>
        <w:t xml:space="preserve">) is not referenced</w:t>
      </w:r>
      <w:r>
        <w:t xml:space="preserve"> </w:t>
      </w:r>
      <w:r>
        <w:t xml:space="preserve">anywhere in</w:t>
      </w:r>
      <w:r>
        <w:t xml:space="preserve"> </w:t>
      </w:r>
      <w:r>
        <w:rPr>
          <w:rStyle w:val="VerbatimChar"/>
        </w:rPr>
        <w:t xml:space="preserve">urls.py</w:t>
      </w:r>
      <w:r>
        <w:t xml:space="preserve"> </w:t>
      </w:r>
      <w:r>
        <w:t xml:space="preserve">— either a page that was deferred, or a</w:t>
      </w:r>
      <w:r>
        <w:t xml:space="preserve"> </w:t>
      </w:r>
      <w:r>
        <w:t xml:space="preserve">leftover from an earlier iteration of the receipt flow.</w:t>
      </w:r>
    </w:p>
    <w:bookmarkEnd w:id="29"/>
    <w:bookmarkEnd w:id="3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SourceCode" w:type="paragraph">
    <w:name w:val="Source Code"/>
    <w:basedOn w:val="Normal"/>
    <w:link w:val="VerbatimChar"/>
    <w:pPr>
      <w:wordWrap w:val="off"/>
    </w:pPr>
  </w:style>
  <w:style w:customStyle="1" w:styleId="KeywordTok" w:type="character">
    <w:name w:val="KeywordTok"/>
    <w:basedOn w:val="VerbatimChar"/>
    <w:rPr>
      <w:color w:val="007020"/>
      <w:b/>
    </w:rPr>
  </w:style>
  <w:style w:customStyle="1" w:styleId="DataTypeTok" w:type="character">
    <w:name w:val="DataTypeTok"/>
    <w:basedOn w:val="VerbatimChar"/>
    <w:rPr>
      <w:color w:val="902000"/>
    </w:rPr>
  </w:style>
  <w:style w:customStyle="1" w:styleId="DecValTok" w:type="character">
    <w:name w:val="DecValTok"/>
    <w:basedOn w:val="VerbatimChar"/>
    <w:rPr>
      <w:color w:val="40a070"/>
    </w:rPr>
  </w:style>
  <w:style w:customStyle="1" w:styleId="BaseNTok" w:type="character">
    <w:name w:val="BaseNTok"/>
    <w:basedOn w:val="VerbatimChar"/>
    <w:rPr>
      <w:color w:val="40a070"/>
    </w:rPr>
  </w:style>
  <w:style w:customStyle="1" w:styleId="FloatTok" w:type="character">
    <w:name w:val="FloatTok"/>
    <w:basedOn w:val="VerbatimChar"/>
    <w:rPr>
      <w:color w:val="40a070"/>
    </w:rPr>
  </w:style>
  <w:style w:customStyle="1" w:styleId="ConstantTok" w:type="character">
    <w:name w:val="ConstantTok"/>
    <w:basedOn w:val="VerbatimChar"/>
    <w:rPr>
      <w:color w:val="880000"/>
    </w:rPr>
  </w:style>
  <w:style w:customStyle="1" w:styleId="CharTok" w:type="character">
    <w:name w:val="CharTok"/>
    <w:basedOn w:val="VerbatimChar"/>
    <w:rPr>
      <w:color w:val="4070a0"/>
    </w:rPr>
  </w:style>
  <w:style w:customStyle="1" w:styleId="SpecialCharTok" w:type="character">
    <w:name w:val="SpecialCharTok"/>
    <w:basedOn w:val="VerbatimChar"/>
    <w:rPr>
      <w:color w:val="4070a0"/>
    </w:rPr>
  </w:style>
  <w:style w:customStyle="1" w:styleId="StringTok" w:type="character">
    <w:name w:val="StringTok"/>
    <w:basedOn w:val="VerbatimChar"/>
    <w:rPr>
      <w:color w:val="4070a0"/>
    </w:rPr>
  </w:style>
  <w:style w:customStyle="1" w:styleId="VerbatimStringTok" w:type="character">
    <w:name w:val="VerbatimStringTok"/>
    <w:basedOn w:val="VerbatimChar"/>
    <w:rPr>
      <w:color w:val="4070a0"/>
    </w:rPr>
  </w:style>
  <w:style w:customStyle="1" w:styleId="SpecialStringTok" w:type="character">
    <w:name w:val="SpecialStringTok"/>
    <w:basedOn w:val="VerbatimChar"/>
    <w:rPr>
      <w:color w:val="bb6688"/>
    </w:rPr>
  </w:style>
  <w:style w:customStyle="1" w:styleId="ImportTok" w:type="character">
    <w:name w:val="ImportTok"/>
    <w:basedOn w:val="VerbatimChar"/>
    <w:rPr>
      <w:color w:val="008000"/>
      <w:b/>
    </w:rPr>
  </w:style>
  <w:style w:customStyle="1" w:styleId="CommentTok" w:type="character">
    <w:name w:val="CommentTok"/>
    <w:basedOn w:val="VerbatimChar"/>
    <w:rPr>
      <w:color w:val="60a0b0"/>
      <w:i/>
    </w:rPr>
  </w:style>
  <w:style w:customStyle="1" w:styleId="DocumentationTok" w:type="character">
    <w:name w:val="DocumentationTok"/>
    <w:basedOn w:val="VerbatimChar"/>
    <w:rPr>
      <w:color w:val="ba2121"/>
      <w:i/>
    </w:rPr>
  </w:style>
  <w:style w:customStyle="1" w:styleId="AnnotationTok" w:type="character">
    <w:name w:val="AnnotationTok"/>
    <w:basedOn w:val="VerbatimChar"/>
    <w:rPr>
      <w:color w:val="60a0b0"/>
      <w:b/>
      <w:i/>
    </w:rPr>
  </w:style>
  <w:style w:customStyle="1" w:styleId="CommentVarTok" w:type="character">
    <w:name w:val="CommentVarTok"/>
    <w:basedOn w:val="VerbatimChar"/>
    <w:rPr>
      <w:color w:val="60a0b0"/>
      <w:b/>
      <w:i/>
    </w:rPr>
  </w:style>
  <w:style w:customStyle="1" w:styleId="OtherTok" w:type="character">
    <w:name w:val="OtherTok"/>
    <w:basedOn w:val="VerbatimChar"/>
    <w:rPr>
      <w:color w:val="007020"/>
    </w:rPr>
  </w:style>
  <w:style w:customStyle="1" w:styleId="FunctionTok" w:type="character">
    <w:name w:val="FunctionTok"/>
    <w:basedOn w:val="VerbatimChar"/>
    <w:rPr>
      <w:color w:val="06287e"/>
    </w:rPr>
  </w:style>
  <w:style w:customStyle="1" w:styleId="VariableTok" w:type="character">
    <w:name w:val="VariableTok"/>
    <w:basedOn w:val="VerbatimChar"/>
    <w:rPr>
      <w:color w:val="19177c"/>
    </w:rPr>
  </w:style>
  <w:style w:customStyle="1" w:styleId="ControlFlowTok" w:type="character">
    <w:name w:val="ControlFlowTok"/>
    <w:basedOn w:val="VerbatimChar"/>
    <w:rPr>
      <w:color w:val="007020"/>
      <w:b/>
    </w:rPr>
  </w:style>
  <w:style w:customStyle="1" w:styleId="OperatorTok" w:type="character">
    <w:name w:val="OperatorTok"/>
    <w:basedOn w:val="VerbatimChar"/>
    <w:rPr>
      <w:color w:val="666666"/>
    </w:rPr>
  </w:style>
  <w:style w:customStyle="1" w:styleId="BuiltInTok" w:type="character">
    <w:name w:val="BuiltInTok"/>
    <w:basedOn w:val="VerbatimChar"/>
    <w:rPr>
      <w:color w:val="008000"/>
    </w:rPr>
  </w:style>
  <w:style w:customStyle="1" w:styleId="ExtensionTok" w:type="character">
    <w:name w:val="ExtensionTok"/>
    <w:basedOn w:val="VerbatimChar"/>
    <w:rPr/>
  </w:style>
  <w:style w:customStyle="1" w:styleId="PreprocessorTok" w:type="character">
    <w:name w:val="PreprocessorTok"/>
    <w:basedOn w:val="VerbatimChar"/>
    <w:rPr>
      <w:color w:val="bc7a00"/>
    </w:rPr>
  </w:style>
  <w:style w:customStyle="1" w:styleId="AttributeTok" w:type="character">
    <w:name w:val="AttributeTok"/>
    <w:basedOn w:val="VerbatimChar"/>
    <w:rPr>
      <w:color w:val="7d9029"/>
    </w:rPr>
  </w:style>
  <w:style w:customStyle="1" w:styleId="RegionMarkerTok" w:type="character">
    <w:name w:val="RegionMarkerTok"/>
    <w:basedOn w:val="VerbatimChar"/>
    <w:rPr/>
  </w:style>
  <w:style w:customStyle="1" w:styleId="InformationTok" w:type="character">
    <w:name w:val="InformationTok"/>
    <w:basedOn w:val="VerbatimChar"/>
    <w:rPr>
      <w:color w:val="60a0b0"/>
      <w:b/>
      <w:i/>
    </w:rPr>
  </w:style>
  <w:style w:customStyle="1" w:styleId="WarningTok" w:type="character">
    <w:name w:val="WarningTok"/>
    <w:basedOn w:val="VerbatimChar"/>
    <w:rPr>
      <w:color w:val="60a0b0"/>
      <w:b/>
      <w:i/>
    </w:rPr>
  </w:style>
  <w:style w:customStyle="1" w:styleId="AlertTok" w:type="character">
    <w:name w:val="AlertTok"/>
    <w:basedOn w:val="VerbatimChar"/>
    <w:rPr>
      <w:color w:val="ff0000"/>
      <w:b/>
    </w:rPr>
  </w:style>
  <w:style w:customStyle="1" w:styleId="ErrorTok" w:type="character">
    <w:name w:val="ErrorTok"/>
    <w:basedOn w:val="VerbatimChar"/>
    <w:rPr>
      <w:color w:val="ff0000"/>
      <w:b/>
    </w:rPr>
  </w:style>
  <w:style w:customStyle="1" w:styleId="NormalTok" w:type="character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2026-08-28T04:30:11Z</dcterms:created>
  <dcterms:modified xsi:type="dcterms:W3CDTF">2026-08-28T04:30:11Z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