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ernalmarkprint"/>
    <w:p>
      <w:pPr>
        <w:pStyle w:val="Heading1"/>
      </w:pPr>
      <w:r>
        <w:t xml:space="preserve">InternalMarkPrint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pre_exam/internal_mark.py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InternalMarkPrint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internal-mark-print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InternalMarkPrint</w:t>
            </w:r>
          </w:p>
        </w:tc>
      </w:tr>
    </w:tbl>
    <w:p>
      <w:pPr>
        <w:pStyle w:val="BodyText"/>
      </w:pPr>
      <w:r>
        <w:t xml:space="preserve">Builds the printable internal mark sheet — equivalent to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CssInternalMarkPrint</w:t>
      </w:r>
      <w:r>
        <w:t xml:space="preserve">, same shape and</w:t>
      </w:r>
      <w:r>
        <w:t xml:space="preserve"> </w:t>
      </w:r>
      <w:r>
        <w:t xml:space="preserve">content. No new distinguishing issues.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2026-08-28T10:27:09Z</dcterms:created>
  <dcterms:modified xsi:type="dcterms:W3CDTF">2026-08-28T10:27:09Z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