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ernalmarkview"/>
    <w:p>
      <w:pPr>
        <w:pStyle w:val="Heading1"/>
      </w:pPr>
      <w:r>
        <w:t xml:space="preserve">InternalMarkView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pre_exam/internal_mark.py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InternalMarkView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InternalMarkView</w:t>
            </w:r>
          </w:p>
        </w:tc>
      </w:tr>
    </w:tbl>
    <w:p>
      <w:pPr>
        <w:pStyle w:val="BodyText"/>
      </w:pPr>
      <w:r>
        <w:t xml:space="preserve">The main review screen for internal marks — equivalent to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‘</w:t>
      </w:r>
      <w:r>
        <w:t xml:space="preserve">s</w:t>
      </w:r>
      <w:r>
        <w:t xml:space="preserve"> </w:t>
      </w:r>
      <w:r>
        <w:rPr>
          <w:rStyle w:val="VerbatimChar"/>
        </w:rPr>
        <w:t xml:space="preserve">CssInternalMarkView</w:t>
      </w:r>
      <w:r>
        <w:t xml:space="preserve">: shows students</w:t>
      </w:r>
      <w:r>
        <w:t xml:space="preserve">’</w:t>
      </w:r>
      <w:r>
        <w:t xml:space="preserve"> </w:t>
      </w:r>
      <w:r>
        <w:t xml:space="preserve">marks</w:t>
      </w:r>
      <w:r>
        <w:t xml:space="preserve"> </w:t>
      </w:r>
      <w:r>
        <w:t xml:space="preserve">alongside flags for whether every course has marks submitted,</w:t>
      </w:r>
      <w:r>
        <w:t xml:space="preserve"> </w:t>
      </w:r>
      <w:r>
        <w:t xml:space="preserve">whether printing is currently allowed, and the current approval</w:t>
      </w:r>
      <w:r>
        <w:t xml:space="preserve"> </w:t>
      </w:r>
      <w:r>
        <w:t xml:space="preserve">status. Same shape, same recurring patterns (unguarded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lookups, a long single method that could benefit from being broken</w:t>
      </w:r>
      <w:r>
        <w:t xml:space="preserve"> </w:t>
      </w:r>
      <w:r>
        <w:t xml:space="preserve">into smaller helpers). No new distinguishing issues.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2026-08-28T10:27:08Z</dcterms:created>
  <dcterms:modified xsi:type="dcterms:W3CDTF">2026-08-28T10:27:08Z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