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gmwiseschemesyllabuslistview"/>
    <w:p>
      <w:pPr>
        <w:pStyle w:val="Heading1"/>
      </w:pPr>
      <w:r>
        <w:t xml:space="preserve">PrgmwiseSchemeSyllabusListView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PrgmwiseSchemeSyllabusListView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acadamicyearview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PrgmwiseSchemeSyllabusListView</w:t>
            </w:r>
          </w:p>
        </w:tc>
      </w:tr>
    </w:tbl>
    <w:p>
      <w:pPr>
        <w:pStyle w:val="BodyText"/>
      </w:pPr>
      <w:r>
        <w:t xml:space="preserve">Identical logic to</w:t>
      </w:r>
      <w:r>
        <w:t xml:space="preserve"> </w:t>
      </w:r>
      <w:r>
        <w:rPr>
          <w:rStyle w:val="VerbatimChar"/>
        </w:rPr>
        <w:t xml:space="preserve">PrgmwiseSchemeSyllabusList</w:t>
      </w:r>
      <w:r>
        <w:t xml:space="preserve">, tagged for the</w:t>
      </w:r>
      <w:r>
        <w:t xml:space="preserve"> </w:t>
      </w:r>
      <w:r>
        <w:t xml:space="preserve">view-flow template —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CaPrgmwiseSchemeSyllabusListView</w:t>
      </w:r>
      <w:r>
        <w:t xml:space="preserve">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