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teacherprogramlist"/>
    <w:p>
      <w:pPr>
        <w:pStyle w:val="Heading1"/>
      </w:pPr>
      <w:r>
        <w:t xml:space="preserve">TeacherProgramList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pre_exam/internal_mark.py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TeacherProgramList</w:t>
      </w:r>
      <w:r>
        <w:t xml:space="preserve">)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pre_exam/urls.py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mark-entry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TeacherProgramList</w:t>
            </w:r>
          </w:p>
        </w:tc>
      </w:tr>
    </w:tbl>
    <w:bookmarkStart w:id="20" w:name="what-this-api-is-for"/>
    <w:p>
      <w:pPr>
        <w:pStyle w:val="Heading2"/>
      </w:pPr>
      <w:r>
        <w:t xml:space="preserve">What this API is for</w:t>
      </w:r>
    </w:p>
    <w:p>
      <w:pPr>
        <w:pStyle w:val="FirstParagraph"/>
      </w:pPr>
      <w:r>
        <w:t xml:space="preserve">The entry screen: shows the logged-in teacher their mentored</w:t>
      </w:r>
      <w:r>
        <w:t xml:space="preserve"> </w:t>
      </w:r>
      <w:r>
        <w:t xml:space="preserve">programmes, for the internal mark-entry flow. Equivalent to</w:t>
      </w:r>
      <w:r>
        <w:t xml:space="preserve"> </w:t>
      </w:r>
      <w:r>
        <w:rPr>
          <w:rStyle w:val="VerbatimChar"/>
        </w:rPr>
        <w:t xml:space="preserve">css_camark_entry.py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CaTeacherProgramList</w:t>
      </w:r>
      <w:r>
        <w:t xml:space="preserve">.</w:t>
      </w:r>
    </w:p>
    <w:bookmarkEnd w:id="20"/>
    <w:bookmarkStart w:id="21" w:name="how-it-works-step-by-step"/>
    <w:p>
      <w:pPr>
        <w:pStyle w:val="Heading2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Find the teacher’s</w:t>
      </w:r>
      <w:r>
        <w:t xml:space="preserve"> </w:t>
      </w:r>
      <w:r>
        <w:rPr>
          <w:rStyle w:val="VerbatimChar"/>
        </w:rPr>
        <w:t xml:space="preserve">ProgrammeMentor</w:t>
      </w:r>
      <w:r>
        <w:t xml:space="preserve"> </w:t>
      </w:r>
      <w:r>
        <w:t xml:space="preserve">assignments.</w:t>
      </w:r>
    </w:p>
    <w:p>
      <w:pPr>
        <w:numPr>
          <w:ilvl w:val="0"/>
          <w:numId w:val="1001"/>
        </w:numPr>
        <w:pStyle w:val="Compact"/>
      </w:pPr>
      <w:r>
        <w:t xml:space="preserve">Serialize and de-duplicate.</w:t>
      </w:r>
    </w:p>
    <w:p>
      <w:pPr>
        <w:numPr>
          <w:ilvl w:val="0"/>
          <w:numId w:val="1001"/>
        </w:numPr>
        <w:pStyle w:val="Compact"/>
      </w:pPr>
      <w:r>
        <w:t xml:space="preserve">Return the list.</w:t>
      </w:r>
    </w:p>
    <w:bookmarkEnd w:id="21"/>
    <w:bookmarkStart w:id="22" w:name="notes-issues-found"/>
    <w:p>
      <w:pPr>
        <w:pStyle w:val="Heading2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This class defines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get()</w:t>
      </w:r>
      <w:r>
        <w:rPr>
          <w:bCs/>
          <w:b/>
        </w:rPr>
        <w:t xml:space="preserve"> </w:t>
      </w:r>
      <w:r>
        <w:rPr>
          <w:bCs/>
          <w:b/>
        </w:rPr>
        <w:t xml:space="preserve">twice</w:t>
      </w:r>
      <w:r>
        <w:t xml:space="preserve"> </w:t>
      </w:r>
      <w:r>
        <w:t xml:space="preserve">— the same silently-discarded</w:t>
      </w:r>
      <w:r>
        <w:t xml:space="preserve"> </w:t>
      </w:r>
      <w:r>
        <w:t xml:space="preserve">duplicate-method pattern described in</w:t>
      </w:r>
      <w:r>
        <w:t xml:space="preserve"> </w:t>
      </w:r>
      <w:r>
        <w:rPr>
          <w:rStyle w:val="VerbatimChar"/>
        </w:rPr>
        <w:t xml:space="preserve">00-overview.docx</w:t>
      </w:r>
      <w:r>
        <w:t xml:space="preserve">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2026-08-28T10:27:08Z</dcterms:created>
  <dcterms:modified xsi:type="dcterms:W3CDTF">2026-08-28T10:27:08Z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