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nlineteacherviewprogramlist"/>
    <w:p>
      <w:pPr>
        <w:pStyle w:val="Heading1"/>
      </w:pPr>
      <w:r>
        <w:t xml:space="preserve">OnlineTeacherviewProgramList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OnlineTeacherviewProgramList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oc-mark-list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OnlineTeacherviewProgramList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entry screen for the read-only</w:t>
      </w:r>
      <w:r>
        <w:t xml:space="preserve"> </w:t>
      </w:r>
      <w:r>
        <w:t xml:space="preserve">“</w:t>
      </w:r>
      <w:r>
        <w:t xml:space="preserve">view online course marks</w:t>
      </w:r>
      <w:r>
        <w:t xml:space="preserve">”</w:t>
      </w:r>
      <w:r>
        <w:t xml:space="preserve"> </w:t>
      </w:r>
      <w:r>
        <w:t xml:space="preserve">flow —</w:t>
      </w:r>
      <w:r>
        <w:t xml:space="preserve"> </w:t>
      </w:r>
      <w:r>
        <w:t xml:space="preserve">same programme-dropdown logic as</w:t>
      </w:r>
      <w:r>
        <w:t xml:space="preserve"> </w:t>
      </w:r>
      <w:r>
        <w:rPr>
          <w:rStyle w:val="VerbatimChar"/>
        </w:rPr>
        <w:t xml:space="preserve">OnlineTeacherProgramList</w:t>
      </w:r>
      <w:r>
        <w:t xml:space="preserve">, but</w:t>
      </w:r>
      <w:r>
        <w:t xml:space="preserve"> </w:t>
      </w:r>
      <w:r>
        <w:t xml:space="preserve">additionally excludes FYUGP programmes.</w:t>
      </w:r>
    </w:p>
    <w:bookmarkEnd w:id="20"/>
    <w:bookmarkStart w:id="21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issues found — this is one of the few classes in this file with a</w:t>
      </w:r>
      <w:r>
        <w:t xml:space="preserve"> </w:t>
      </w:r>
      <w:r>
        <w:t xml:space="preserve">docstring explaining its purpose.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