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pencoursemarkview"/>
    <w:p>
      <w:pPr>
        <w:pStyle w:val="Heading1"/>
      </w:pPr>
      <w:r>
        <w:t xml:space="preserve">OpenCourseMarkView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pre_exam/opencourse.py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OpenCourseMarkView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open-course-mark-view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OpenCourseMarkView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A read-only view of open-course marks for a programme/exam —</w:t>
      </w:r>
      <w:r>
        <w:t xml:space="preserve"> </w:t>
      </w:r>
      <w:r>
        <w:t xml:space="preserve">functionally similar to the HoD/Principal review lists, but without</w:t>
      </w:r>
      <w:r>
        <w:t xml:space="preserve"> </w:t>
      </w:r>
      <w:r>
        <w:t xml:space="preserve">any approval action attached; just for browsing.</w:t>
      </w:r>
    </w:p>
    <w:bookmarkEnd w:id="20"/>
    <w:bookmarkStart w:id="21" w:name="how-it-works-step-by-step"/>
    <w:p>
      <w:pPr>
        <w:pStyle w:val="Heading2"/>
      </w:pPr>
      <w:r>
        <w:t xml:space="preserve">How it works — step by step</w:t>
      </w:r>
    </w:p>
    <w:p>
      <w:pPr>
        <w:pStyle w:val="FirstParagraph"/>
      </w:pPr>
      <w:r>
        <w:t xml:space="preserve">Same student/course discovery as</w:t>
      </w:r>
      <w:r>
        <w:t xml:space="preserve"> </w:t>
      </w:r>
      <w:r>
        <w:rPr>
          <w:rStyle w:val="VerbatimChar"/>
        </w:rPr>
        <w:t xml:space="preserve">OpenCourseStudentList</w:t>
      </w:r>
      <w:r>
        <w:t xml:space="preserve">. For each</w:t>
      </w:r>
      <w:r>
        <w:t xml:space="preserve"> </w:t>
      </w:r>
      <w:r>
        <w:t xml:space="preserve">course: checks attendance status first (absent/SMP), then resolves</w:t>
      </w:r>
      <w:r>
        <w:t xml:space="preserve"> </w:t>
      </w:r>
      <w:r>
        <w:t xml:space="preserve">the mark via the same</w:t>
      </w:r>
      <w:r>
        <w:t xml:space="preserve"> </w:t>
      </w:r>
      <w:r>
        <w:rPr>
          <w:rStyle w:val="VerbatimChar"/>
        </w:rPr>
        <w:t xml:space="preserve">PLVFMarkEntry</w:t>
      </w:r>
      <w:r>
        <w:t xml:space="preserve">-decryption approach as the</w:t>
      </w:r>
      <w:r>
        <w:t xml:space="preserve"> </w:t>
      </w:r>
      <w:r>
        <w:t xml:space="preserve">approval-review endpoints.</w:t>
      </w:r>
    </w:p>
    <w:bookmarkEnd w:id="21"/>
    <w:bookmarkStart w:id="22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-based mark decryption pattern as the three other</w:t>
      </w:r>
      <w:r>
        <w:t xml:space="preserve"> </w:t>
      </w:r>
      <w:r>
        <w:t xml:space="preserve">endpoints in this file that display an existing mark — see</w:t>
      </w:r>
      <w:r>
        <w:t xml:space="preserve"> </w:t>
      </w:r>
      <w:r>
        <w:rPr>
          <w:rStyle w:val="VerbatimChar"/>
        </w:rPr>
        <w:t xml:space="preserve">00-overview.docx</w:t>
      </w:r>
      <w:r>
        <w:t xml:space="preserve"> </w:t>
      </w:r>
      <w:r>
        <w:t xml:space="preserve">for the consolidated explanation of this pattern.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2026-08-28T10:11:49Z</dcterms:created>
  <dcterms:modified xsi:type="dcterms:W3CDTF">2026-08-28T10:11:49Z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