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opencourseprincipalapproval"/>
    <w:p>
      <w:pPr>
        <w:pStyle w:val="Heading1"/>
      </w:pPr>
      <w:r>
        <w:t xml:space="preserve">OpenCoursePrincipalApproval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pre_exam/opencourse.py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OpenCoursePrincipalApproval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open-course-mark-principal-approval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OpenCoursePrincipalApproval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entry screen for the Principal’s open-course mark review — the</w:t>
      </w:r>
      <w:r>
        <w:t xml:space="preserve"> </w:t>
      </w:r>
      <w:r>
        <w:t xml:space="preserve">second and final approval stage, after HoD approval. Identical</w:t>
      </w:r>
      <w:r>
        <w:t xml:space="preserve"> </w:t>
      </w:r>
      <w:r>
        <w:t xml:space="preserve">programme-dropdown logic to</w:t>
      </w:r>
      <w:r>
        <w:t xml:space="preserve"> </w:t>
      </w:r>
      <w:r>
        <w:rPr>
          <w:rStyle w:val="VerbatimChar"/>
        </w:rPr>
        <w:t xml:space="preserve">OpenCourseHodApproval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OpenCourseTeacherProgrammeList</w:t>
      </w:r>
      <w:r>
        <w:t xml:space="preserve">, tagged for the Principal-approval</w:t>
      </w:r>
      <w:r>
        <w:t xml:space="preserve"> </w:t>
      </w:r>
      <w:r>
        <w:t xml:space="preserve">template.</w:t>
      </w:r>
    </w:p>
    <w:bookmarkEnd w:id="20"/>
    <w:bookmarkStart w:id="21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No distinguishing issues — see</w:t>
      </w:r>
      <w:r>
        <w:t xml:space="preserve"> </w:t>
      </w:r>
      <w:r>
        <w:rPr>
          <w:rStyle w:val="VerbatimChar"/>
        </w:rPr>
        <w:t xml:space="preserve">OpenCourseTeacherProgrammeList.docx</w:t>
      </w:r>
      <w:r>
        <w:t xml:space="preserve"> </w:t>
      </w:r>
      <w:r>
        <w:t xml:space="preserve">for the shared logic.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2026-08-28T10:11:48Z</dcterms:created>
  <dcterms:modified xsi:type="dcterms:W3CDTF">2026-08-28T10:11:48Z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