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opencourseprincipalaprovallist"/>
    <w:p>
      <w:pPr>
        <w:pStyle w:val="Heading1"/>
      </w:pPr>
      <w:r>
        <w:t xml:space="preserve">OpenCoursePrincipalAprovalList</w:t>
      </w:r>
    </w:p>
    <w:p>
      <w:pPr>
        <w:pStyle w:val="FirstParagraph"/>
      </w:pPr>
      <w:r>
        <w:t xml:space="preserve">Source file:</w:t>
      </w:r>
      <w:r>
        <w:t xml:space="preserve"> </w:t>
      </w:r>
      <w:r>
        <w:rPr>
          <w:rStyle w:val="VerbatimChar"/>
        </w:rPr>
        <w:t xml:space="preserve">pre_exam/opencourse.py</w:t>
      </w:r>
      <w:r>
        <w:t xml:space="preserve"> </w:t>
      </w:r>
      <w:r>
        <w:t xml:space="preserve">(class</w:t>
      </w:r>
      <w:r>
        <w:t xml:space="preserve"> </w:t>
      </w:r>
      <w:r>
        <w:rPr>
          <w:rStyle w:val="VerbatimChar"/>
        </w:rPr>
        <w:t xml:space="preserve">OpenCoursePrincipalAprovalList</w:t>
      </w:r>
      <w:r>
        <w:t xml:space="preserve">) URL mapping:</w:t>
      </w:r>
      <w:r>
        <w:t xml:space="preserve"> </w:t>
      </w:r>
      <w:r>
        <w:rPr>
          <w:rStyle w:val="VerbatimChar"/>
        </w:rPr>
        <w:t xml:space="preserve">pre_exam/urls.py</w:t>
      </w:r>
    </w:p>
    <w:tbl>
      <w:tblPr>
        <w:tblStyle w:val="Table"/>
        <w:tblW w:type="pct" w:w="4865"/>
        <w:tblLook w:firstRow="0" w:lastRow="0" w:firstColumn="0" w:lastColumn="0" w:noHBand="0" w:noVBand="0" w:val="0000"/>
        <w:jc w:val="start"/>
      </w:tblPr>
      <w:tblGrid>
        <w:gridCol w:w="3852"/>
        <w:gridCol w:w="3852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open-course-mark-principal-approval-list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OpenCoursePrincipalAprovalList</w:t>
            </w:r>
          </w:p>
        </w:tc>
      </w:tr>
    </w:tbl>
    <w:bookmarkStart w:id="20" w:name="what-this-api-is-for"/>
    <w:p>
      <w:pPr>
        <w:pStyle w:val="Heading2"/>
      </w:pPr>
      <w:r>
        <w:t xml:space="preserve">What this API is for</w:t>
      </w:r>
    </w:p>
    <w:p>
      <w:pPr>
        <w:pStyle w:val="FirstParagraph"/>
      </w:pPr>
      <w:r>
        <w:t xml:space="preserve">The Principal’s review screen — functionally the same as</w:t>
      </w:r>
      <w:r>
        <w:t xml:space="preserve"> </w:t>
      </w:r>
      <w:r>
        <w:rPr>
          <w:rStyle w:val="VerbatimChar"/>
        </w:rPr>
        <w:t xml:space="preserve">OpenCourseHodAprovalList</w:t>
      </w:r>
      <w:r>
        <w:t xml:space="preserve"> </w:t>
      </w:r>
      <w:r>
        <w:t xml:space="preserve">(same student/mark/status resolution</w:t>
      </w:r>
      <w:r>
        <w:t xml:space="preserve"> </w:t>
      </w:r>
      <w:r>
        <w:t xml:space="preserve">logic), shown at the final approval stage rather than the HoD stage.</w:t>
      </w:r>
    </w:p>
    <w:bookmarkEnd w:id="20"/>
    <w:bookmarkStart w:id="21" w:name="notes-issues-found"/>
    <w:p>
      <w:pPr>
        <w:pStyle w:val="Heading2"/>
      </w:pPr>
      <w:r>
        <w:t xml:space="preserve">Notes / issues found</w:t>
      </w:r>
    </w:p>
    <w:p>
      <w:pPr>
        <w:pStyle w:val="FirstParagraph"/>
      </w:pPr>
      <w:r>
        <w:t xml:space="preserve">Same</w:t>
      </w:r>
      <w:r>
        <w:t xml:space="preserve"> </w:t>
      </w:r>
      <w:r>
        <w:rPr>
          <w:rStyle w:val="VerbatimChar"/>
        </w:rPr>
        <w:t xml:space="preserve">eval()</w:t>
      </w:r>
      <w:r>
        <w:t xml:space="preserve">-based mark decryption pattern as</w:t>
      </w:r>
      <w:r>
        <w:t xml:space="preserve"> </w:t>
      </w:r>
      <w:r>
        <w:rPr>
          <w:rStyle w:val="VerbatimChar"/>
        </w:rPr>
        <w:t xml:space="preserve">OpenCourseHodAprovalList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OpenCourseStudentList</w:t>
      </w:r>
      <w:r>
        <w:t xml:space="preserve"> </w:t>
      </w:r>
      <w:r>
        <w:t xml:space="preserve">— see</w:t>
      </w:r>
      <w:r>
        <w:t xml:space="preserve"> </w:t>
      </w:r>
      <w:r>
        <w:rPr>
          <w:rStyle w:val="VerbatimChar"/>
        </w:rPr>
        <w:t xml:space="preserve">00-overview.docx</w:t>
      </w:r>
      <w:r>
        <w:t xml:space="preserve">. Same encrypted-value-based join between</w:t>
      </w:r>
      <w:r>
        <w:t xml:space="preserve"> </w:t>
      </w:r>
      <w:r>
        <w:rPr>
          <w:rStyle w:val="VerbatimChar"/>
        </w:rPr>
        <w:t xml:space="preserve">PLVFMarkEntry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StudentOpenCourseMark</w:t>
      </w:r>
      <w:r>
        <w:t xml:space="preserve">.</w:t>
      </w:r>
    </w:p>
    <w:bookmarkEnd w:id="21"/>
    <w:bookmarkEnd w:id="2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color w:val="007020"/>
      <w:b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color w:val="008000"/>
      <w:b/>
    </w:rPr>
  </w:style>
  <w:style w:customStyle="1" w:styleId="CommentTok" w:type="character">
    <w:name w:val="CommentTok"/>
    <w:basedOn w:val="VerbatimChar"/>
    <w:rPr>
      <w:color w:val="60a0b0"/>
      <w:i/>
    </w:rPr>
  </w:style>
  <w:style w:customStyle="1" w:styleId="DocumentationTok" w:type="character">
    <w:name w:val="DocumentationTok"/>
    <w:basedOn w:val="VerbatimChar"/>
    <w:rPr>
      <w:color w:val="ba2121"/>
      <w:i/>
    </w:rPr>
  </w:style>
  <w:style w:customStyle="1" w:styleId="AnnotationTok" w:type="character">
    <w:name w:val="AnnotationTok"/>
    <w:basedOn w:val="VerbatimChar"/>
    <w:rPr>
      <w:color w:val="60a0b0"/>
      <w:b/>
      <w:i/>
    </w:rPr>
  </w:style>
  <w:style w:customStyle="1" w:styleId="CommentVarTok" w:type="character">
    <w:name w:val="CommentVarTok"/>
    <w:basedOn w:val="VerbatimChar"/>
    <w:rPr>
      <w:color w:val="60a0b0"/>
      <w:b/>
      <w:i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color w:val="007020"/>
      <w:b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color w:val="60a0b0"/>
      <w:b/>
      <w:i/>
    </w:rPr>
  </w:style>
  <w:style w:customStyle="1" w:styleId="WarningTok" w:type="character">
    <w:name w:val="WarningTok"/>
    <w:basedOn w:val="VerbatimChar"/>
    <w:rPr>
      <w:color w:val="60a0b0"/>
      <w:b/>
      <w:i/>
    </w:rPr>
  </w:style>
  <w:style w:customStyle="1" w:styleId="AlertTok" w:type="character">
    <w:name w:val="AlertTok"/>
    <w:basedOn w:val="VerbatimChar"/>
    <w:rPr>
      <w:color w:val="ff0000"/>
      <w:b/>
    </w:rPr>
  </w:style>
  <w:style w:customStyle="1" w:styleId="ErrorTok" w:type="character">
    <w:name w:val="ErrorTok"/>
    <w:basedOn w:val="VerbatimChar"/>
    <w:rPr>
      <w:color w:val="ff0000"/>
      <w:b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2026-08-28T10:11:48Z</dcterms:created>
  <dcterms:modified xsi:type="dcterms:W3CDTF">2026-08-28T10:11:48Z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