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aminerappdtechng"/>
    <w:p>
      <w:pPr>
        <w:pStyle w:val="Heading1"/>
      </w:pPr>
      <w:r>
        <w:t xml:space="preserve">ExaminerAppDteChng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ExaminerAppDteChng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api/v1/invigilator/exmnr-app-dte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ExaminerAppDteChng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Based on its name, this appears intended as a general</w:t>
      </w:r>
      <w:r>
        <w:t xml:space="preserve"> </w:t>
      </w:r>
      <w:r>
        <w:t xml:space="preserve">“</w:t>
      </w:r>
      <w:r>
        <w:t xml:space="preserve">change an</w:t>
      </w:r>
      <w:r>
        <w:t xml:space="preserve"> </w:t>
      </w:r>
      <w:r>
        <w:t xml:space="preserve">exam hall allotment’s date</w:t>
      </w:r>
      <w:r>
        <w:t xml:space="preserve">”</w:t>
      </w:r>
      <w:r>
        <w:t xml:space="preserve"> </w:t>
      </w:r>
      <w:r>
        <w:t xml:space="preserve">action.</w:t>
      </w:r>
    </w:p>
    <w:bookmarkEnd w:id="20"/>
    <w:bookmarkStart w:id="21" w:name="X8d6cd62c38ea4cb089483809dde58286259f79f"/>
    <w:p>
      <w:pPr>
        <w:pStyle w:val="Heading2"/>
      </w:pPr>
      <w:r>
        <w:t xml:space="preserve">How it works — step by step (as actually written)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385</w:t>
      </w:r>
      <w:r>
        <w:br/>
      </w:r>
      <w:r>
        <w:rPr>
          <w:rStyle w:val="NormalTok"/>
        </w:rPr>
        <w:t xml:space="preserve">        ip_date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ExamHallAllotmentObj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ExamHallAllotment.objects.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exa_id).first()</w:t>
      </w:r>
      <w:r>
        <w:br/>
      </w:r>
      <w:r>
        <w:rPr>
          <w:rStyle w:val="NormalTok"/>
        </w:rPr>
        <w:t xml:space="preserve">        ExamHallAllotmentObj.exam_date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ip_date</w:t>
      </w:r>
      <w:r>
        <w:br/>
      </w:r>
      <w:r>
        <w:rPr>
          <w:rStyle w:val="NormalTok"/>
        </w:rPr>
        <w:t xml:space="preserve">        ExamHallAllotmentObj.save()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 Sucessfully Changed!"</w:t>
      </w:r>
      <w:r>
        <w:rPr>
          <w:rStyle w:val="NormalTok"/>
        </w:rPr>
        <w:t xml:space="preserve">}, status.HTTP_200_OK, ...)</w:t>
      </w:r>
    </w:p>
    <w:p>
      <w:pPr>
        <w:numPr>
          <w:ilvl w:val="0"/>
          <w:numId w:val="1001"/>
        </w:numPr>
        <w:pStyle w:val="Compact"/>
      </w:pPr>
      <w:r>
        <w:t xml:space="preserve">Read 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from the request.</w:t>
      </w:r>
    </w:p>
    <w:p>
      <w:pPr>
        <w:numPr>
          <w:ilvl w:val="0"/>
          <w:numId w:val="1001"/>
        </w:numPr>
        <w:pStyle w:val="Compact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 </w:t>
      </w:r>
      <w:r>
        <w:t xml:space="preserve">field on</w:t>
      </w:r>
      <w:r>
        <w:t xml:space="preserve"> </w:t>
      </w:r>
      <w:r>
        <w:rPr>
          <w:bCs/>
          <w:b/>
        </w:rPr>
        <w:t xml:space="preserve">one specific, hardcoded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ExamHallAllotment</w:t>
      </w:r>
      <w:r>
        <w:rPr>
          <w:bCs/>
          <w:b/>
        </w:rPr>
        <w:t xml:space="preserve"> </w:t>
      </w:r>
      <w:r>
        <w:rPr>
          <w:bCs/>
          <w:b/>
        </w:rPr>
        <w:t xml:space="preserve">record — 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385</w:t>
      </w:r>
      <w:r>
        <w:t xml:space="preserve"> </w:t>
      </w:r>
      <w:r>
        <w:t xml:space="preserve">— regardless of what the</w:t>
      </w:r>
      <w:r>
        <w:t xml:space="preserve"> </w:t>
      </w:r>
      <w:r>
        <w:t xml:space="preserve">caller actually intended to change.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true, "message": "Date Sucessfully Changed!"}</w:t>
      </w:r>
    </w:p>
    <w:bookmarkEnd w:id="22"/>
    <w:bookmarkStart w:id="23" w:name="Xb420058df6a25556216dcd01340898fc144e0c0"/>
    <w:p>
      <w:pPr>
        <w:pStyle w:val="Heading2"/>
      </w:pPr>
      <w:r>
        <w:t xml:space="preserve">Notes / issues found — a hardcoded row id in a live, reachable endpoint</w:t>
      </w:r>
    </w:p>
    <w:p>
      <w:pPr>
        <w:pStyle w:val="FirstParagraph"/>
      </w:pPr>
      <w:r>
        <w:rPr>
          <w:bCs/>
          <w:b/>
        </w:rPr>
        <w:t xml:space="preserve">Every single call to this endpoint changes the exam date of the</w:t>
      </w:r>
      <w:r>
        <w:rPr>
          <w:bCs/>
          <w:b/>
        </w:rPr>
        <w:t xml:space="preserve"> </w:t>
      </w:r>
      <w:r>
        <w:rPr>
          <w:bCs/>
          <w:b/>
        </w:rPr>
        <w:t xml:space="preserve">exact same one database row,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ExamHallAllotment</w:t>
      </w:r>
      <w:r>
        <w:rPr>
          <w:bCs/>
          <w:b/>
        </w:rPr>
        <w:t xml:space="preserve"> </w:t>
      </w:r>
      <w:r>
        <w:rPr>
          <w:bCs/>
          <w:b/>
        </w:rPr>
        <w:t xml:space="preserve">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385</w:t>
      </w:r>
      <w:r>
        <w:rPr>
          <w:bCs/>
          <w:b/>
        </w:rPr>
        <w:t xml:space="preserve">.</w:t>
      </w:r>
      <w:r>
        <w:t xml:space="preserve"> </w:t>
      </w:r>
      <w:r>
        <w:t xml:space="preserve">There is</w:t>
      </w:r>
      <w:r>
        <w:t xml:space="preserve"> </w:t>
      </w:r>
      <w:r>
        <w:t xml:space="preserve">no parameter identifying which allotment the caller means to update</w:t>
      </w:r>
      <w:r>
        <w:t xml:space="preserve"> </w:t>
      </w:r>
      <w:r>
        <w:t xml:space="preserve">— the id is baked directly into the code. This has the shape of a</w:t>
      </w:r>
      <w:r>
        <w:t xml:space="preserve"> </w:t>
      </w:r>
      <w:r>
        <w:t xml:space="preserve">one-off debugging or data-fix utility (used once to correct a</w:t>
      </w:r>
      <w:r>
        <w:t xml:space="preserve"> </w:t>
      </w:r>
      <w:r>
        <w:t xml:space="preserve">specific record) that was left live as a reachable, unauthenticated-by-default</w:t>
      </w:r>
      <w:r>
        <w:t xml:space="preserve"> </w:t>
      </w:r>
      <w:r>
        <w:t xml:space="preserve">route rather than being removed once its job was done. As written,</w:t>
      </w:r>
      <w:r>
        <w:t xml:space="preserve"> </w:t>
      </w:r>
      <w:r>
        <w:t xml:space="preserve">any caller of this endpoint — intentionally or not — will overwrite</w:t>
      </w:r>
      <w:r>
        <w:t xml:space="preserve"> </w:t>
      </w:r>
      <w:r>
        <w:t xml:space="preserve">that one specific exam’s date with whatever value they submit, with</w:t>
      </w:r>
      <w:r>
        <w:t xml:space="preserve"> </w:t>
      </w:r>
      <w:r>
        <w:t xml:space="preserve">no way to target any other record.</w:t>
      </w:r>
    </w:p>
    <w:p>
      <w:pPr>
        <w:pStyle w:val="BodyText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 before</w:t>
      </w:r>
      <w:r>
        <w:t xml:space="preserve"> </w:t>
      </w:r>
      <w:r>
        <w:rPr>
          <w:rStyle w:val="VerbatimChar"/>
        </w:rPr>
        <w:t xml:space="preserve">.exam_date</w:t>
      </w:r>
      <w:r>
        <w:t xml:space="preserve"> </w:t>
      </w:r>
      <w:r>
        <w:t xml:space="preserve">is set —</w:t>
      </w:r>
      <w:r>
        <w:t xml:space="preserve"> </w:t>
      </w:r>
      <w:r>
        <w:t xml:space="preserve">if record</w:t>
      </w:r>
      <w:r>
        <w:t xml:space="preserve"> </w:t>
      </w:r>
      <w:r>
        <w:rPr>
          <w:rStyle w:val="VerbatimChar"/>
        </w:rPr>
        <w:t xml:space="preserve">385</w:t>
      </w:r>
      <w:r>
        <w:t xml:space="preserve"> </w:t>
      </w:r>
      <w:r>
        <w:t xml:space="preserve">doesn’t exist (for example, after being cleaned up or</w:t>
      </w:r>
      <w:r>
        <w:t xml:space="preserve"> </w:t>
      </w:r>
      <w:r>
        <w:t xml:space="preserve">in a different environment), this raises an error rather than a</w:t>
      </w:r>
      <w:r>
        <w:t xml:space="preserve"> </w:t>
      </w:r>
      <w:r>
        <w:t xml:space="preserve">specific message.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declared on this class at all — relies</w:t>
      </w:r>
      <w:r>
        <w:t xml:space="preserve"> </w:t>
      </w:r>
      <w:r>
        <w:t xml:space="preserve">entirely on the project-wide default.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