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amp_mgmt-module-api-documentation"/>
    <w:p>
      <w:pPr>
        <w:pStyle w:val="Heading1"/>
      </w:pPr>
      <w:r>
        <w:t xml:space="preserve">camp_mgmt Module — API Documentation</w:t>
      </w:r>
    </w:p>
    <w:bookmarkStart w:id="20" w:name="what-this-module-does"/>
    <w:p>
      <w:pPr>
        <w:pStyle w:val="Heading2"/>
      </w:pPr>
      <w:r>
        <w:t xml:space="preserve">What this module does</w:t>
      </w:r>
    </w:p>
    <w:p>
      <w:pPr>
        <w:pStyle w:val="FirstParagraph"/>
      </w:pPr>
      <w:r>
        <w:rPr>
          <w:rStyle w:val="VerbatimChar"/>
        </w:rPr>
        <w:t xml:space="preserve">camp_mgmt</w:t>
      </w:r>
      <w:r>
        <w:t xml:space="preserve"> </w:t>
      </w:r>
      <w:r>
        <w:t xml:space="preserve">handles everything related to</w:t>
      </w:r>
      <w:r>
        <w:t xml:space="preserve"> </w:t>
      </w:r>
      <w:r>
        <w:rPr>
          <w:bCs/>
          <w:b/>
        </w:rPr>
        <w:t xml:space="preserve">evaluation camps</w:t>
      </w:r>
      <w:r>
        <w:t xml:space="preserve"> </w:t>
      </w:r>
      <w:r>
        <w:t xml:space="preserve">in the University of Kerala online evaluation system — from distributing answer sheet bundles to examiners, tracking marks through multiple evaluation levels, handling revaluation/SMP (Suspected Malpractice) workflows, and closing out camps once evaluation is complete.</w:t>
      </w:r>
    </w:p>
    <w:bookmarkEnd w:id="20"/>
    <w:bookmarkStart w:id="21" w:name="response-format-used-across-all-apis"/>
    <w:p>
      <w:pPr>
        <w:pStyle w:val="Heading2"/>
      </w:pPr>
      <w:r>
        <w:t xml:space="preserve">Response format used across all APIs</w:t>
      </w:r>
    </w:p>
    <w:p>
      <w:pPr>
        <w:pStyle w:val="FirstParagraph"/>
      </w:pPr>
      <w:r>
        <w:t xml:space="preserve">Every endpoint in this module returns a response built by a shared</w:t>
      </w:r>
      <w:r>
        <w:t xml:space="preserve"> </w:t>
      </w:r>
      <w:r>
        <w:rPr>
          <w:rStyle w:val="VerbatimChar"/>
        </w:rPr>
        <w:t xml:space="preserve">format_response()</w:t>
      </w:r>
      <w:r>
        <w:t xml:space="preserve"> </w:t>
      </w:r>
      <w:r>
        <w:t xml:space="preserve">helper, in this shape: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request succeeded,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 it failed.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"success"</w:t>
      </w:r>
      <w:r>
        <w:t xml:space="preserve"> </w:t>
      </w:r>
      <w:r>
        <w:t xml:space="preserve">on success, or an error message/code on failure (e.g. </w:t>
      </w:r>
      <w:r>
        <w:rPr>
          <w:rStyle w:val="VerbatimChar"/>
        </w:rPr>
        <w:t xml:space="preserve">BAD_GATEWAY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data</w:t>
      </w:r>
      <w:r>
        <w:t xml:space="preserve">: the actual payload — an empty object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on error.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status_code</w:t>
      </w:r>
      <w:r>
        <w:t xml:space="preserve">: standard HTTP status code (200 OK, 201 Created, 400 Bad Request, etc).</w:t>
      </w:r>
    </w:p>
    <w:p>
      <w:pPr>
        <w:pStyle w:val="FirstParagraph"/>
      </w:pPr>
      <w:r>
        <w:t xml:space="preserve">All endpoints wrap their logic in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 so a caller should always check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first before reading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bookmarkEnd w:id="21"/>
    <w:bookmarkStart w:id="22" w:name="Xb6168f56817381df0dd5806bfe14767e696e242"/>
    <w:p>
      <w:pPr>
        <w:pStyle w:val="Heading2"/>
      </w:pPr>
      <w:r>
        <w:t xml:space="preserve">Sub-areas in this module (one doc file each)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answer-sheet-distribution.md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 42 endpoints from</w:t>
            </w:r>
            <w:r>
              <w:t xml:space="preserve"> </w:t>
            </w:r>
            <w:r>
              <w:rPr>
                <w:rStyle w:val="VerbatimChar"/>
              </w:rPr>
              <w:t xml:space="preserve">answer_sheet_dist.py</w:t>
            </w:r>
            <w:r>
              <w:t xml:space="preserve">: distribution, bundle slip printing, acknowledgement, reallocation, second-level evaluation, answer sheet return, third/next-level evaluation, and sequence number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bundle-generation.md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 6 endpoints from</w:t>
            </w:r>
            <w:r>
              <w:t xml:space="preserve"> </w:t>
            </w:r>
            <w:r>
              <w:rPr>
                <w:rStyle w:val="VerbatimChar"/>
              </w:rPr>
              <w:t xml:space="preserve">bundle_generation.py</w:t>
            </w:r>
            <w:r>
              <w:t xml:space="preserve">: direct bundle creation by college exam-cell staff (separate from the Camp Officer 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mark-entry.md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 mark entry (web + mobile)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mark-approve-compare.md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approval and second-level mark comparison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camp-schedule.md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 schedule setup and listing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chief-examiner-mark-view.md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examiner mark view/update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Suspected Malpractice upload &amp; approval flow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external-teacher-allocation.md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teacher/examiner allocation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zone-code-approval.md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Zone/coordinator mark approval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camp-closure-cellar-disposal.md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 closure, cellar inventory, answer sheet disposal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</w:tbl>
    <w:p>
      <w:pPr>
        <w:pStyle w:val="BlockText"/>
      </w:pPr>
      <w:r>
        <w:t xml:space="preserve">This is a living document — sub-areas are being documented one at a time, in the order they appear in the source code, and reviewed before moving to the next.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2026-07-18T04:40:04Z</dcterms:created>
  <dcterms:modified xsi:type="dcterms:W3CDTF">2026-07-18T04:40:04Z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