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models.py-overview"/>
    <w:p>
      <w:pPr>
        <w:pStyle w:val="Heading1"/>
      </w:pPr>
      <w:r>
        <w:t xml:space="preserve">models.py — Overview</w:t>
      </w:r>
    </w:p>
    <w:p>
      <w:pPr>
        <w:pStyle w:val="FirstParagraph"/>
      </w:pPr>
      <w:r>
        <w:rPr>
          <w:rStyle w:val="VerbatimChar"/>
        </w:rPr>
        <w:t xml:space="preserve">models.py</w:t>
      </w:r>
      <w:r>
        <w:t xml:space="preserve"> </w:t>
      </w:r>
      <w:r>
        <w:t xml:space="preserve">(6,063 lines) defines the entire shared database schema for</w:t>
      </w:r>
      <w:r>
        <w:t xml:space="preserve"> </w:t>
      </w:r>
      <w:r>
        <w:t xml:space="preserve">this system — roughly 416 model classes, imported via</w:t>
      </w:r>
      <w:r>
        <w:t xml:space="preserve"> </w:t>
      </w:r>
      <w:r>
        <w:rPr>
          <w:rStyle w:val="VerbatimChar"/>
        </w:rPr>
        <w:t xml:space="preserve">from util.models import *</w:t>
      </w:r>
      <w:r>
        <w:t xml:space="preserve"> </w:t>
      </w:r>
      <w:r>
        <w:t xml:space="preserve">by every other module documented so far (</w:t>
      </w:r>
      <w:r>
        <w:rPr>
          <w:rStyle w:val="VerbatimChar"/>
        </w:rPr>
        <w:t xml:space="preserve">smp</w:t>
      </w:r>
      <w:r>
        <w:t xml:space="preserve">,</w:t>
      </w:r>
      <w:r>
        <w:t xml:space="preserve"> </w:t>
      </w:r>
      <w:r>
        <w:rPr>
          <w:rStyle w:val="VerbatimChar"/>
        </w:rPr>
        <w:t xml:space="preserve">std_services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tcr_index</w:t>
      </w:r>
      <w:r>
        <w:t xml:space="preserve">). This is a</w:t>
      </w:r>
      <w:r>
        <w:t xml:space="preserve"> </w:t>
      </w:r>
      <w:r>
        <w:rPr>
          <w:bCs/>
          <w:b/>
        </w:rPr>
        <w:t xml:space="preserve">reference catalog</w:t>
      </w:r>
      <w:r>
        <w:t xml:space="preserve">, not a</w:t>
      </w:r>
      <w:r>
        <w:t xml:space="preserve"> </w:t>
      </w:r>
      <w:r>
        <w:t xml:space="preserve">bug-hunt: each doc below lists the models in one of the file’s own</w:t>
      </w:r>
      <w:r>
        <w:t xml:space="preserve"> </w:t>
      </w:r>
      <w:r>
        <w:t xml:space="preserve">named sections, with a one-line purpose (from the model’s own inline</w:t>
      </w:r>
      <w:r>
        <w:t xml:space="preserve"> </w:t>
      </w:r>
      <w:r>
        <w:t xml:space="preserve">comment, where present) and its first few fields so you can find what</w:t>
      </w:r>
      <w:r>
        <w:t xml:space="preserve"> </w:t>
      </w:r>
      <w:r>
        <w:t xml:space="preserve">holds a given piece of data and what it links to.</w:t>
      </w:r>
    </w:p>
    <w:bookmarkStart w:id="20" w:name="how-this-is-organized"/>
    <w:p>
      <w:pPr>
        <w:pStyle w:val="Heading2"/>
      </w:pPr>
      <w:r>
        <w:t xml:space="preserve">How this is organized</w:t>
      </w:r>
    </w:p>
    <w:p>
      <w:pPr>
        <w:pStyle w:val="FirstParagraph"/>
      </w:pPr>
      <w:r>
        <w:t xml:space="preserve">The file itself is divided by large</w:t>
      </w:r>
      <w:r>
        <w:t xml:space="preserve"> </w:t>
      </w:r>
      <w:r>
        <w:rPr>
          <w:rStyle w:val="VerbatimChar"/>
        </w:rPr>
        <w:t xml:space="preserve"># ====</w:t>
      </w:r>
      <w:r>
        <w:t xml:space="preserve"> </w:t>
      </w:r>
      <w:r>
        <w:t xml:space="preserve">comment banners into named</w:t>
      </w:r>
      <w:r>
        <w:t xml:space="preserve"> </w:t>
      </w:r>
      <w:r>
        <w:t xml:space="preserve">“</w:t>
      </w:r>
      <w:r>
        <w:t xml:space="preserve">module</w:t>
      </w:r>
      <w:r>
        <w:t xml:space="preserve">”</w:t>
      </w:r>
      <w:r>
        <w:t xml:space="preserve"> </w:t>
      </w:r>
      <w:r>
        <w:t xml:space="preserve">sections. Those sections aren’t always contiguous with the</w:t>
      </w:r>
      <w:r>
        <w:t xml:space="preserve"> </w:t>
      </w:r>
      <w:r>
        <w:t xml:space="preserve">domain they sound like (e.g. there are two separate</w:t>
      </w:r>
      <w:r>
        <w:t xml:space="preserve"> </w:t>
      </w:r>
      <w:r>
        <w:t xml:space="preserve">“</w:t>
      </w:r>
      <w:r>
        <w:t xml:space="preserve">Camp</w:t>
      </w:r>
      <w:r>
        <w:t xml:space="preserve">”</w:t>
      </w:r>
      <w:r>
        <w:t xml:space="preserve"> </w:t>
      </w:r>
      <w:r>
        <w:t xml:space="preserve">blocks and</w:t>
      </w:r>
      <w:r>
        <w:t xml:space="preserve"> </w:t>
      </w:r>
      <w:r>
        <w:t xml:space="preserve">two separate</w:t>
      </w:r>
      <w:r>
        <w:t xml:space="preserve"> </w:t>
      </w:r>
      <w:r>
        <w:t xml:space="preserve">“</w:t>
      </w:r>
      <w:r>
        <w:t xml:space="preserve">Revaluation</w:t>
      </w:r>
      <w:r>
        <w:t xml:space="preserve">”</w:t>
      </w:r>
      <w:r>
        <w:t xml:space="preserve"> </w:t>
      </w:r>
      <w:r>
        <w:t xml:space="preserve">blocks, and a large tail of models with no</w:t>
      </w:r>
      <w:r>
        <w:t xml:space="preserve"> </w:t>
      </w:r>
      <w:r>
        <w:t xml:space="preserve">section heading at all) — the docs below follow the file’s actual</w:t>
      </w:r>
      <w:r>
        <w:t xml:space="preserve"> </w:t>
      </w:r>
      <w:r>
        <w:t xml:space="preserve">layout rather than re-sorting everything into a cleaner taxonomy, so</w:t>
      </w:r>
      <w:r>
        <w:t xml:space="preserve"> </w:t>
      </w:r>
      <w:r>
        <w:t xml:space="preserve">that a line number or a</w:t>
      </w:r>
      <w:r>
        <w:t xml:space="preserve"> </w:t>
      </w:r>
      <w:r>
        <w:t xml:space="preserve">“</w:t>
      </w:r>
      <w:r>
        <w:t xml:space="preserve">which section is this in</w:t>
      </w:r>
      <w:r>
        <w:t xml:space="preserve">”</w:t>
      </w:r>
      <w:r>
        <w:t xml:space="preserve"> </w:t>
      </w:r>
      <w:r>
        <w:t xml:space="preserve">question in the</w:t>
      </w:r>
      <w:r>
        <w:t xml:space="preserve"> </w:t>
      </w:r>
      <w:r>
        <w:t xml:space="preserve">source maps directly onto a doc here.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01-dashboard-and-academics.md</w:t>
      </w:r>
      <w:r>
        <w:t xml:space="preserve"> </w:t>
      </w:r>
      <w:r>
        <w:t xml:space="preserve">— menu/dashboard scaffolding,</w:t>
      </w:r>
      <w:r>
        <w:t xml:space="preserve"> </w:t>
      </w:r>
      <w:r>
        <w:t xml:space="preserve">then the large Academics block: regulations, programmes, courses,</w:t>
      </w:r>
      <w:r>
        <w:t xml:space="preserve"> </w:t>
      </w:r>
      <w:r>
        <w:t xml:space="preserve">schemes, colleges, and the core</w:t>
      </w:r>
      <w:r>
        <w:t xml:space="preserve"> </w:t>
      </w:r>
      <w:r>
        <w:rPr>
          <w:rStyle w:val="VerbatimChar"/>
        </w:rPr>
        <w:t xml:space="preserve">StudentBase</w:t>
      </w:r>
      <w:r>
        <w:t xml:space="preserve">/</w:t>
      </w:r>
      <w:r>
        <w:rPr>
          <w:rStyle w:val="VerbatimChar"/>
        </w:rPr>
        <w:t xml:space="preserve">TeacherBase</w:t>
      </w:r>
      <w:r>
        <w:t xml:space="preserve"> </w:t>
      </w:r>
      <w:r>
        <w:t xml:space="preserve">records.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02-user-management-and-pre-exam.md</w:t>
      </w:r>
      <w:r>
        <w:t xml:space="preserve"> </w:t>
      </w:r>
      <w:r>
        <w:t xml:space="preserve">— identity reference data</w:t>
      </w:r>
      <w:r>
        <w:t xml:space="preserve"> </w:t>
      </w:r>
      <w:r>
        <w:t xml:space="preserve">and profiles; exam definitions, scheduling, and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03-attendance-question-bank-camps-fleet.md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04-collection-distribution-and-question-paper.md</w:t>
      </w:r>
      <w:r>
        <w:t xml:space="preserve"> </w:t>
      </w:r>
      <w:r>
        <w:t xml:space="preserve">— bundle</w:t>
      </w:r>
      <w:r>
        <w:t xml:space="preserve"> </w:t>
      </w:r>
      <w:r>
        <w:t xml:space="preserve">logistics and question paper blueprints.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05-smp-payment-marks-and-evaluation.md</w:t>
      </w:r>
      <w:r>
        <w:t xml:space="preserve"> </w:t>
      </w:r>
      <w:r>
        <w:t xml:space="preserve">— malpractice reports,</w:t>
      </w:r>
      <w:r>
        <w:t xml:space="preserve"> </w:t>
      </w:r>
      <w:r>
        <w:t xml:space="preserve">fees/payments, and a second</w:t>
      </w:r>
      <w:r>
        <w:t xml:space="preserve"> </w:t>
      </w:r>
      <w:r>
        <w:t xml:space="preserve">“</w:t>
      </w:r>
      <w:r>
        <w:t xml:space="preserve">camp</w:t>
      </w:r>
      <w:r>
        <w:t xml:space="preserve">”</w:t>
      </w:r>
      <w:r>
        <w:t xml:space="preserve"> </w:t>
      </w:r>
      <w:r>
        <w:t xml:space="preserve">block covering evaluation mark</w:t>
      </w:r>
      <w:r>
        <w:t xml:space="preserve"> </w:t>
      </w:r>
      <w:r>
        <w:t xml:space="preserve">entry.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06-revaluation-moderation-report-onscreen.md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07-enrollment-and-student-services.md</w:t>
      </w:r>
      <w:r>
        <w:t xml:space="preserve"> </w:t>
      </w:r>
      <w:r>
        <w:t xml:space="preserve">— the largest block</w:t>
      </w:r>
      <w:r>
        <w:t xml:space="preserve"> </w:t>
      </w:r>
      <w:r>
        <w:t xml:space="preserve">outside Academics; also where the module’s one duplicate model</w:t>
      </w:r>
      <w:r>
        <w:t xml:space="preserve"> </w:t>
      </w:r>
      <w:r>
        <w:t xml:space="preserve">definition lives.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08-misc-ungrouped.md</w:t>
      </w:r>
      <w:r>
        <w:t xml:space="preserve"> </w:t>
      </w:r>
      <w:r>
        <w:t xml:space="preserve">— everything added after the file stopped</w:t>
      </w:r>
      <w:r>
        <w:t xml:space="preserve"> </w:t>
      </w:r>
      <w:r>
        <w:t xml:space="preserve">using section headers.</w:t>
      </w:r>
    </w:p>
    <w:bookmarkEnd w:id="20"/>
    <w:bookmarkStart w:id="21" w:name="single-most-significant-finding"/>
    <w:p>
      <w:pPr>
        <w:pStyle w:val="Heading2"/>
      </w:pPr>
      <w:r>
        <w:t xml:space="preserve">Single most significant finding</w:t>
      </w:r>
    </w:p>
    <w:p>
      <w:pPr>
        <w:pStyle w:val="FirstParagraph"/>
      </w:pPr>
      <w:r>
        <w:rPr>
          <w:rStyle w:val="VerbatimChar"/>
          <w:bCs/>
          <w:b/>
        </w:rPr>
        <w:t xml:space="preserve">ProjectRejection</w:t>
      </w:r>
      <w:r>
        <w:rPr>
          <w:bCs/>
          <w:b/>
        </w:rPr>
        <w:t xml:space="preserve"> </w:t>
      </w:r>
      <w:r>
        <w:rPr>
          <w:bCs/>
          <w:b/>
        </w:rPr>
        <w:t xml:space="preserve">is defined twice</w:t>
      </w:r>
      <w:r>
        <w:t xml:space="preserve">, both mapped to the same</w:t>
      </w:r>
      <w:r>
        <w:t xml:space="preserve"> </w:t>
      </w:r>
      <w:r>
        <w:t xml:space="preserve">database table (</w:t>
      </w:r>
      <w:r>
        <w:rPr>
          <w:rStyle w:val="VerbatimChar"/>
        </w:rPr>
        <w:t xml:space="preserve">pgd_proj_rej</w:t>
      </w:r>
      <w:r>
        <w:t xml:space="preserve">), with the two definitions disagreeing</w:t>
      </w:r>
      <w:r>
        <w:t xml:space="preserve"> </w:t>
      </w:r>
      <w:r>
        <w:t xml:space="preserve">on field type (</w:t>
      </w:r>
      <w:r>
        <w:rPr>
          <w:rStyle w:val="VerbatimChar"/>
        </w:rPr>
        <w:t xml:space="preserve">DateField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DateTimeField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/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). See</w:t>
      </w:r>
      <w:r>
        <w:t xml:space="preserve"> </w:t>
      </w:r>
      <w:r>
        <w:rPr>
          <w:rStyle w:val="VerbatimChar"/>
        </w:rPr>
        <w:t xml:space="preserve">07-enrollment-and-student-services.md</w:t>
      </w:r>
      <w:r>
        <w:t xml:space="preserve"> </w:t>
      </w:r>
      <w:r>
        <w:t xml:space="preserve">for detail.</w:t>
      </w:r>
    </w:p>
    <w:bookmarkEnd w:id="21"/>
    <w:bookmarkStart w:id="22" w:name="other-things-worth-knowing"/>
    <w:p>
      <w:pPr>
        <w:pStyle w:val="Heading2"/>
      </w:pPr>
      <w:r>
        <w:t xml:space="preserve">Other things worth knowing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UserLoginLog</w:t>
      </w:r>
      <w:r>
        <w:t xml:space="preserve"> </w:t>
      </w:r>
      <w:r>
        <w:t xml:space="preserve">is the only model in the whole file that doesn’t</w:t>
      </w:r>
      <w:r>
        <w:t xml:space="preserve"> </w:t>
      </w:r>
      <w:r>
        <w:t xml:space="preserve">inherit from the shared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class every other model uses — see</w:t>
      </w:r>
      <w:r>
        <w:t xml:space="preserve"> </w:t>
      </w:r>
      <w:r>
        <w:rPr>
          <w:rStyle w:val="VerbatimChar"/>
        </w:rPr>
        <w:t xml:space="preserve">08-misc-ungrouped.md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late block of models stores what look like foreign keys as plain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CharField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IntegerField</w:t>
      </w:r>
      <w:r>
        <w:rPr>
          <w:bCs/>
          <w:b/>
        </w:rPr>
        <w:t xml:space="preserve"> </w:t>
      </w:r>
      <w:r>
        <w:rPr>
          <w:bCs/>
          <w:b/>
        </w:rPr>
        <w:t xml:space="preserve">instead of real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ForeignKey</w:t>
      </w:r>
      <w:r>
        <w:rPr>
          <w:bCs/>
          <w:b/>
        </w:rPr>
        <w:t xml:space="preserve"> </w:t>
      </w:r>
      <w:r>
        <w:rPr>
          <w:bCs/>
          <w:b/>
        </w:rPr>
        <w:t xml:space="preserve">fields</w:t>
      </w:r>
      <w:r>
        <w:t xml:space="preserve"> </w:t>
      </w:r>
      <w:r>
        <w:t xml:space="preserve">(</w:t>
      </w:r>
      <w:r>
        <w:rPr>
          <w:rStyle w:val="VerbatimChar"/>
        </w:rPr>
        <w:t xml:space="preserve">Dcbhistory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Smpstatushistory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CadateExtension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ExtTeacherAllocation</w:t>
      </w:r>
      <w:r>
        <w:t xml:space="preserve">) — consistent with the hand-joined,</w:t>
      </w:r>
      <w:r>
        <w:t xml:space="preserve"> </w:t>
      </w:r>
      <w:r>
        <w:t xml:space="preserve">no-referential-integrity query style already documented in</w:t>
      </w:r>
      <w:r>
        <w:t xml:space="preserve"> </w:t>
      </w:r>
      <w:r>
        <w:rPr>
          <w:rStyle w:val="VerbatimChar"/>
        </w:rPr>
        <w:t xml:space="preserve">std_services</w:t>
      </w:r>
      <w:r>
        <w:t xml:space="preserve">’s</w:t>
      </w:r>
      <w:r>
        <w:t xml:space="preserve"> </w:t>
      </w:r>
      <w:r>
        <w:rPr>
          <w:rStyle w:val="VerbatimChar"/>
        </w:rPr>
        <w:t xml:space="preserve">dcb.py</w:t>
      </w:r>
      <w:r>
        <w:t xml:space="preserve">, which reads several of these tables</w:t>
      </w:r>
      <w:r>
        <w:t xml:space="preserve"> </w:t>
      </w:r>
      <w:r>
        <w:t xml:space="preserve">directly.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OldFalseNumberMarkCopy</w:t>
      </w:r>
      <w:r>
        <w:t xml:space="preserve"> </w:t>
      </w:r>
      <w:r>
        <w:t xml:space="preserve">sits right next to the live</w:t>
      </w:r>
      <w:r>
        <w:t xml:space="preserve"> </w:t>
      </w:r>
      <w:r>
        <w:rPr>
          <w:rStyle w:val="VerbatimChar"/>
        </w:rPr>
        <w:t xml:space="preserve">FalseNumberMark</w:t>
      </w:r>
      <w:r>
        <w:t xml:space="preserve"> </w:t>
      </w:r>
      <w:r>
        <w:t xml:space="preserve">table with a near-identical shape — almost</w:t>
      </w:r>
      <w:r>
        <w:t xml:space="preserve"> </w:t>
      </w:r>
      <w:r>
        <w:t xml:space="preserve">certainly a retained historical copy rather than something still</w:t>
      </w:r>
      <w:r>
        <w:t xml:space="preserve"> </w:t>
      </w:r>
      <w:r>
        <w:t xml:space="preserve">written to, but worth confirming.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2026-09-09T11:18:13Z</dcterms:created>
  <dcterms:modified xsi:type="dcterms:W3CDTF">2026-09-09T11:18:13Z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