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verification app — API Documentation Overview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Django app: verification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Generated from a source-only export (no shared/util packages, no database, no running server). Every finding below is grounded in the files in this export; anything that depends on code outside it is called out explicitly as external and not confirmable.</w:t>
      </w:r>
    </w:p>
    <w:p>
      <w:pPr>
        <w:pStyle w:val="Heading1"/>
        <w:spacing w:after="150" w:before="300"/>
      </w:pPr>
      <w:r>
        <w:t xml:space="preserve">1. What this module does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verification app is the public certificate/mark-sheet verification surface for a university academic-management system (“University of Kerala” branding appears in the bundled HTML templates). It exposes four unauthenticated (AllowAny) endpoints behind verification/urls.py, backed by a single 1,161-line source file, verification.py: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CertConVerification (GET) — decrypts an encrypted mark-list identifier from the URL and returns the candidate's programme, candidate code, and name for a consolidated mark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CertProVerification (GET) — same pattern for a certificate identifier instead of a mark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CertificateVerification (GET/POST) — GET renders an HTML form (cert_verification.html); POST is the heaviest endpoint in the app — it looks up a student by candidate code and, depending on a cert_type flag, computes and returns a single semester's result, a full CGPA/grade summary (with branch-specific logic for B.Ed, B.Tech, MPES, and “CSS” programmes, some of it proxied to another internal service over HTTP), or an aggregate-percentage summary likewise proxied to an internal 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CertificateSemester (GET) — given a candidate code, returns the list of programme semesters (via ProgrammeSemesterExamAddSerializer).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first two endpoints require the caller to already possess an encrypted, Fernet-protected identifier (a real proof-of-possession check). The last two accept a plain, guessable candidate code with no signature or ownership check — this asymmetry is discussed in §3 and in the module doc.</w:t>
      </w:r>
    </w:p>
    <w:p>
      <w:pPr>
        <w:pStyle w:val="Heading1"/>
        <w:spacing w:after="150" w:before="300"/>
      </w:pPr>
      <w:r>
        <w:t xml:space="preserve">2. Response format used across all APIs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Every success and handled-failure path in this app returns the shared envelope helper format_response(success: bool, message, data: dict, status_code=..., template_name=...). The helper itself is not in this export (it is presumably part of the shared util package — see §3), so its internal behavior is inferred only from these call sites, not confirmed from its source.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Observed shape (inferred from usage):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format_response(True,  FETCH_SUCCESS_MSG, data={...}, status_code=status.HTTP_201_CREATED, template_name="...")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format_response(False, BAD_GATEWAY,       {},         status_code=status.HTTP_500_INTERNAL_SERVER_ERROR, template_name=None)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Deviations from this envelope found in verification.py: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raw DRF Response({'error': ...}, status=...) calls (CertificateVerification.post, both external-API branches) bypass format_response entirely when the upstream HTTP call fails — a different shape from every other error in the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CertificateVerification.get returns a raw Django render(request, 'cert_verification.html', ...) — an HTML page, not a JSON envelope at all. The commented-out line directly above it suggests a format_response(...) call was once there and was deliberately swapped 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Status-code choices are inconsistent for the same logical outcome: successful GET/POST fetches return HTTP 201 Created (not 200 OK, even though nothing is created); most validation failures (invalid candidate, missing semester, captcha invalid, etc.) also return 201; one validation failure (“Aggregate Mark Not Available”) returns 200 OK instead; only the generic except: block returns 500. A client cannot distinguish “ok” from “validation failed” from the HTTP status alone — it has to inspect the boolean success field.</w:t>
      </w:r>
    </w:p>
    <w:p>
      <w:pPr>
        <w:pStyle w:val="Heading1"/>
        <w:spacing w:after="150" w:before="300"/>
      </w:pPr>
      <w:r>
        <w:t xml:space="preserve">3. A note on source visibility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export contains only the verification app. The following packages are imported (via from x import *) but not included, so any field, constant, or behavior that depends on them is marked “external, not confirmable” in the module doc rather than guessed: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util.models — all Django models used (StudentDetail, StudentSemester, ExamRegistration, DigitalFalseNumber, GradeCard, SGPA, StudentCertificate, StudentMarkList, Programme, and others). Field names, types, and relations are taken on faith from how the code uses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util.serializers — includes ProgrammeSemesterExamAddSerializer (AllSemSGPASerializer is actually imported from certificates.serializers, also external). Response field lists that come from a serializer's .data are therefore not confirmable; only the dict keys the view code itself reads back out (e.g. item['sgpa'], item['total']) can be stated with confidence.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util.constants — every message/status constant (FETCH_SUCCESS_MSG, BAD_GATEWAY, INVALID_CANDIDATE, SEM_MISS, RESULT_NOT_PUBLISHED, COURSE_NOT_COMPLETED, USR_CAPTCHA_INVALID, PASS, FAIL, MPES, BA_LLB, and others) is referenced by name only — the module doc shows these as &lt;value of CONSTANT_NAME&gt;, never as invented literal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util.pagination — imported but no paginated endpoint uses it in this file; not applicable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user_mnt.forms.MyForm — the Django form used to validate CertificateVerification's POST body. Its fields and validation rules are not visible, so “form.is_valid()” is documented as an opaque gate, not a specific validation list.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models.py, admin.py, views.py, and tests.py in this app are Django boilerplate (unmodified template contents) — confirming that all real logic lives in verification.py, as expected for this codebase's pattern of a thin app module built on a shared util package.</w:t>
      </w:r>
    </w:p>
    <w:p>
      <w:pPr>
        <w:pStyle w:val="Heading1"/>
        <w:spacing w:after="150" w:before="300"/>
      </w:pPr>
      <w:r>
        <w:t xml:space="preserve">4. Known cross-cutting issues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These patterns recur across multiple endpoints in verification.py. Each is described once here; the module doc references this section by number instead of re-explaining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[XC-1] Unchecked .filter(...).first() / .get() chains: nearly every endpoint does 3–8 sequential lookups where each result's attribute is accessed with no None check before the next lookup. Any missing row anywhere in the chain raises AttributeError/DoesNotExist, which is then swallowed by the endpoint's blanket except Exception block and reported as a generic 500 — indistinguishable from a real server fault.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[XC-2] Unassigned-variable risk from partial-branch assignment: multiple functions and endpoint methods assign a variable only inside an if/elif (with no covering else) and then reference it unconditionally afterward. Where this happens inside a try/except, it silently becomes another generic 500 rather than a clear error; documented per-occurrence in the module doc.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[XC-3] Inconsistent response envelope and status codes: see §2 above (raw Response(), raw render(), and inconsistent 200/201/500 usage on logically similar outcomes).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[XC-4] Hardcoded internal API credentials and address: both external-service calls in CertificateVerification.post use the same literal bearer token and a literal internal IP (http://10.20.20.105/...), with a commented-out DNS-based URL (http://erp:9000/...) left directly above the live one, and verify=False disabling TLS certificate validation on both calls.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[XC-5] Public, unauthenticated lookups keyed on guessable identifiers: CertificateVerification and CertificateSemester accept a plain candidate_code/c_code with permission_classes = AllowAny and no possession or ownership check — unlike CertConVerification/CertProVerification, which require an encrypted token. Anyone who knows or enumerates a candidate code can retrieve that student's marks, grade, and semester data.</w:t>
      </w:r>
    </w:p>
    <w:p>
      <w:pPr>
        <w:pStyle w:val="Heading1"/>
        <w:spacing w:after="150" w:before="300"/>
      </w:pPr>
      <w:r>
        <w:t xml:space="preserve">5. Sub-areas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4800"/>
        <w:gridCol w:w="1500"/>
      </w:tblGrid>
      <w:tr>
        <w:tc>
          <w:tcPr>
            <w:tcW w:type="dxa" w:w="2400"/>
            <w:shd w:fill="DDEB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 file</w:t>
            </w:r>
          </w:p>
        </w:tc>
        <w:tc>
          <w:tcPr>
            <w:tcW w:type="dxa" w:w="1300"/>
            <w:shd w:fill="DDEB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4800"/>
            <w:shd w:fill="DDEB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DDEB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verification.py</w:t>
            </w:r>
          </w:p>
        </w:tc>
        <w:tc>
          <w:tcPr>
            <w:tcW w:type="dxa" w:w="1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Certificate/mark-sheet verification: two encrypted-token lookups (consolidated mark list, certificate) and two form-driven lookups (full result computation, semester list for a programme).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</w:rPr>
        <w:t xml:space="preserve">Note: this app has exactly one non-boilerplate source file behind urls.py, so the module-doc set for this app is a single document (verification.docx) rather than a multi-file series.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2026-09-08T10:57:55.635Z</dcterms:created>
  <dcterms:modified xsi:type="dcterms:W3CDTF">2026-09-08T10:57:55.648Z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