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ubmitanswersheet"/>
    <w:p>
      <w:pPr>
        <w:pStyle w:val="Heading1"/>
      </w:pPr>
      <w:r>
        <w:t xml:space="preserve">Submitanswersheet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online_evaluation/answersheet_allocate.py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Submitanswersheet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Submitanswersheet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final, most important step of the examiner’s drill-down: shows</w:t>
      </w:r>
      <w:r>
        <w:t xml:space="preserve"> </w:t>
      </w:r>
      <w:r>
        <w:t xml:space="preserve">the actual answer sheets assigned to this examiner for the chosen</w:t>
      </w:r>
      <w:r>
        <w:t xml:space="preserve"> </w:t>
      </w:r>
      <w:r>
        <w:t xml:space="preserve">course and QP code, along with a progress summary (how many</w:t>
      </w:r>
      <w:r>
        <w:t xml:space="preserve"> </w:t>
      </w:r>
      <w:r>
        <w:t xml:space="preserve">allocated, evaluated, not yet evaluated, and SMP-flagged) — this is</w:t>
      </w:r>
      <w:r>
        <w:t xml:space="preserve"> </w:t>
      </w:r>
      <w:r>
        <w:t xml:space="preserve">the screen the examiner actually works from to open and mark each</w:t>
      </w:r>
      <w:r>
        <w:t xml:space="preserve"> </w:t>
      </w:r>
      <w:r>
        <w:t xml:space="preserve">sheet.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course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QP code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Find every active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where the logged-in user is</w:t>
      </w:r>
      <w:r>
        <w:t xml:space="preserve"> </w:t>
      </w:r>
      <w:r>
        <w:t xml:space="preserve">an Additional or Chief Examiner.</w:t>
      </w:r>
    </w:p>
    <w:p>
      <w:pPr>
        <w:numPr>
          <w:ilvl w:val="0"/>
          <w:numId w:val="1001"/>
        </w:numPr>
        <w:pStyle w:val="Compact"/>
      </w:pPr>
      <w:r>
        <w:t xml:space="preserve">Find bundles for this QP code, assigned to this examiner, whose</w:t>
      </w:r>
      <w:r>
        <w:t xml:space="preserve"> </w:t>
      </w:r>
      <w:r>
        <w:t xml:space="preserve">status is already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 </w:t>
      </w:r>
      <w:r>
        <w:t xml:space="preserve">— this is used just below to</w:t>
      </w:r>
      <w:r>
        <w:t xml:space="preserve"> </w:t>
      </w:r>
      <w:r>
        <w:rPr>
          <w:iCs/>
          <w:i/>
        </w:rPr>
        <w:t xml:space="preserve">exclude</w:t>
      </w:r>
      <w:r>
        <w:t xml:space="preserve"> </w:t>
      </w:r>
      <w:r>
        <w:t xml:space="preserve">fully-finished bundles from the working list.</w:t>
      </w:r>
    </w:p>
    <w:p>
      <w:pPr>
        <w:numPr>
          <w:ilvl w:val="0"/>
          <w:numId w:val="1001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ExaminerScannedAnswersheet</w:t>
      </w:r>
      <w:r>
        <w:t xml:space="preserve"> </w:t>
      </w:r>
      <w:r>
        <w:t xml:space="preserve">assigned to this examiner</w:t>
      </w:r>
      <w:r>
        <w:t xml:space="preserve"> </w:t>
      </w:r>
      <w:r>
        <w:t xml:space="preserve">for this QP code (excluding deleted sheets and sheets belonging to</w:t>
      </w:r>
      <w:r>
        <w:t xml:space="preserve"> </w:t>
      </w:r>
      <w:r>
        <w:t xml:space="preserve">the already-evaluated bundles from step 2), and count them by</w:t>
      </w:r>
      <w:r>
        <w:t xml:space="preserve"> </w:t>
      </w:r>
      <w:r>
        <w:t xml:space="preserve">status: total allocated, how many are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 </w:t>
      </w:r>
      <w:r>
        <w:t xml:space="preserve">(not yet</w:t>
      </w:r>
      <w:r>
        <w:t xml:space="preserve"> </w:t>
      </w:r>
      <w:r>
        <w:t xml:space="preserve">evaluated), how many are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, and how many are flagged</w:t>
      </w:r>
      <w:r>
        <w:t xml:space="preserve"> </w:t>
      </w:r>
      <w:r>
        <w:rPr>
          <w:rStyle w:val="VerbatimChar"/>
        </w:rPr>
        <w:t xml:space="preserve">SMP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Separately, check whether the examiner has a bundle for this QP</w:t>
      </w:r>
      <w:r>
        <w:t xml:space="preserve"> </w:t>
      </w:r>
      <w:r>
        <w:t xml:space="preserve">code still at</w:t>
      </w:r>
      <w:r>
        <w:t xml:space="preserve"> </w:t>
      </w:r>
      <w:r>
        <w:rPr>
          <w:rStyle w:val="VerbatimChar"/>
        </w:rPr>
        <w:t xml:space="preserve">DISTRIBUTED</w:t>
      </w:r>
      <w:r>
        <w:t xml:space="preserve"> </w:t>
      </w:r>
      <w:r>
        <w:t xml:space="preserve">status — if so, flip it to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,</w:t>
      </w:r>
      <w:r>
        <w:t xml:space="preserve"> </w:t>
      </w:r>
      <w:r>
        <w:t xml:space="preserve">marking that the examiner has now started working on it.</w:t>
      </w:r>
    </w:p>
    <w:p>
      <w:pPr>
        <w:numPr>
          <w:ilvl w:val="0"/>
          <w:numId w:val="1001"/>
        </w:numPr>
        <w:pStyle w:val="Compact"/>
      </w:pPr>
      <w:r>
        <w:t xml:space="preserve">Resolve the specific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ids this examiner is</w:t>
      </w:r>
      <w:r>
        <w:t xml:space="preserve"> </w:t>
      </w:r>
      <w:r>
        <w:t xml:space="preserve">assigned for this course/QP code.</w:t>
      </w:r>
    </w:p>
    <w:p>
      <w:pPr>
        <w:numPr>
          <w:ilvl w:val="0"/>
          <w:numId w:val="1001"/>
        </w:numPr>
        <w:pStyle w:val="Compact"/>
      </w:pPr>
      <w:r>
        <w:t xml:space="preserve">Find the matching, not-yet-fully-processed</w:t>
      </w:r>
      <w:r>
        <w:t xml:space="preserve"> </w:t>
      </w:r>
      <w:r>
        <w:rPr>
          <w:rStyle w:val="VerbatimChar"/>
        </w:rPr>
        <w:t xml:space="preserve">ExaminerScannedAnswersheet</w:t>
      </w:r>
      <w:r>
        <w:t xml:space="preserve"> </w:t>
      </w:r>
      <w:r>
        <w:t xml:space="preserve">rows for those candidates.</w:t>
      </w:r>
    </w:p>
    <w:p>
      <w:pPr>
        <w:numPr>
          <w:ilvl w:val="0"/>
          <w:numId w:val="1001"/>
        </w:numPr>
        <w:pStyle w:val="Compact"/>
      </w:pPr>
      <w:r>
        <w:t xml:space="preserve">For each one, build a display row: the candidate’s</w:t>
      </w:r>
      <w:r>
        <w:t xml:space="preserve"> </w:t>
      </w:r>
      <w:r>
        <w:rPr>
          <w:rStyle w:val="VerbatimChar"/>
        </w:rPr>
        <w:t xml:space="preserve">dfm</w:t>
      </w:r>
      <w:r>
        <w:t xml:space="preserve"> </w:t>
      </w:r>
      <w:r>
        <w:t xml:space="preserve">id, the</w:t>
      </w:r>
      <w:r>
        <w:t xml:space="preserve"> </w:t>
      </w:r>
      <w:r>
        <w:t xml:space="preserve">answer sheet’s URL, the evaluation level, current status, sequence</w:t>
      </w:r>
      <w:r>
        <w:t xml:space="preserve"> </w:t>
      </w:r>
      <w:r>
        <w:t xml:space="preserve">number within the bundle, and bundle code.</w:t>
      </w:r>
    </w:p>
    <w:p>
      <w:pPr>
        <w:numPr>
          <w:ilvl w:val="0"/>
          <w:numId w:val="1001"/>
        </w:numPr>
        <w:pStyle w:val="Compact"/>
      </w:pPr>
      <w:r>
        <w:t xml:space="preserve">Return the four summary counts plus the full list of sheets ready</w:t>
      </w:r>
      <w:r>
        <w:t xml:space="preserve"> </w:t>
      </w:r>
      <w:r>
        <w:t xml:space="preserve">to be worked on.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 "message": "success",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"Totalallocated": 40, "Totalevaluated": 12, "Totalnotevaluated": 26, "Totalsmp": 2,</w:t>
      </w:r>
      <w:r>
        <w:br/>
      </w:r>
      <w:r>
        <w:rPr>
          <w:rStyle w:val="VerbatimChar"/>
        </w:rPr>
        <w:t xml:space="preserve">    "Ans": [{"dfm": 501, "ansurl": "media/...", "level": "Level 1", "seq_no": 14, "code": "B00501"}]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A variable used after the sheet-building loop can be undefined if</w:t>
      </w:r>
      <w:r>
        <w:rPr>
          <w:bCs/>
          <w:b/>
        </w:rPr>
        <w:t xml:space="preserve"> </w:t>
      </w:r>
      <w:r>
        <w:rPr>
          <w:bCs/>
          <w:b/>
        </w:rPr>
        <w:t xml:space="preserve">the loop never runs.</w:t>
      </w:r>
      <w:r>
        <w:t xml:space="preserve"> </w:t>
      </w:r>
      <w:r>
        <w:t xml:space="preserve">The final</w:t>
      </w:r>
      <w:r>
        <w:t xml:space="preserve"> </w:t>
      </w:r>
      <w:r>
        <w:rPr>
          <w:rStyle w:val="VerbatimChar"/>
        </w:rPr>
        <w:t xml:space="preserve">print("cscscscscs", cs)</w:t>
      </w:r>
      <w:r>
        <w:t xml:space="preserve"> </w:t>
      </w:r>
      <w:r>
        <w:t xml:space="preserve">line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cs</w:t>
      </w:r>
      <w:r>
        <w:t xml:space="preserve">, which is only assigned inside the loop body — if</w:t>
      </w:r>
      <w:r>
        <w:t xml:space="preserve"> </w:t>
      </w:r>
      <w:r>
        <w:t xml:space="preserve">there’s nothing left for the examiner to work on (an empty result at</w:t>
      </w:r>
      <w:r>
        <w:t xml:space="preserve"> </w:t>
      </w:r>
      <w:r>
        <w:t xml:space="preserve">this point, which is a perfectly normal state, not an error), this</w:t>
      </w:r>
      <w:r>
        <w:t xml:space="preserve"> </w:t>
      </w:r>
      <w:r>
        <w:t xml:space="preserve">line raises an error instead. Caught only by the generic outer</w:t>
      </w:r>
      <w:r>
        <w:t xml:space="preserve"> </w:t>
      </w:r>
      <w:r>
        <w:t xml:space="preserve">exception handler, this turns a routine</w:t>
      </w:r>
      <w:r>
        <w:t xml:space="preserve"> </w:t>
      </w:r>
      <w:r>
        <w:t xml:space="preserve">“</w:t>
      </w:r>
      <w:r>
        <w:t xml:space="preserve">you’re all caught up</w:t>
      </w:r>
      <w:r>
        <w:t xml:space="preserve">”</w:t>
      </w:r>
      <w:r>
        <w:t xml:space="preserve"> </w:t>
      </w:r>
      <w:r>
        <w:t xml:space="preserve">case</w:t>
      </w:r>
      <w:r>
        <w:t xml:space="preserve"> </w:t>
      </w:r>
      <w:r>
        <w:t xml:space="preserve">into a failure response.</w:t>
      </w:r>
    </w:p>
    <w:p>
      <w:pPr>
        <w:pStyle w:val="BodyText"/>
      </w:pPr>
      <w:r>
        <w:rPr>
          <w:bCs/>
          <w:b/>
        </w:rPr>
        <w:t xml:space="preserve">Each sheet in the loop triggers two additional individual database</w:t>
      </w:r>
      <w:r>
        <w:rPr>
          <w:bCs/>
          <w:b/>
        </w:rPr>
        <w:t xml:space="preserve"> </w:t>
      </w:r>
      <w:r>
        <w:rPr>
          <w:bCs/>
          <w:b/>
        </w:rPr>
        <w:t xml:space="preserve">lookups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ExaminerFalseNumber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)</w:t>
      </w:r>
      <w:r>
        <w:t xml:space="preserve"> </w:t>
      </w:r>
      <w:r>
        <w:t xml:space="preserve">rather than resolving them in bulk before the loop starts — for a</w:t>
      </w:r>
      <w:r>
        <w:t xml:space="preserve"> </w:t>
      </w:r>
      <w:r>
        <w:t xml:space="preserve">large number of assigned sheets, this adds up to many extra queries.</w:t>
      </w:r>
    </w:p>
    <w:p>
      <w:pPr>
        <w:pStyle w:val="BodyText"/>
      </w:pPr>
      <w:r>
        <w:t xml:space="preserve">The answer sheet’s display URL is built with a hardcoded</w:t>
      </w:r>
      <w:r>
        <w:t xml:space="preserve"> </w:t>
      </w:r>
      <w:r>
        <w:rPr>
          <w:rStyle w:val="VerbatimChar"/>
        </w:rPr>
        <w:t xml:space="preserve">"media"</w:t>
      </w:r>
      <w:r>
        <w:t xml:space="preserve"> </w:t>
      </w:r>
      <w:r>
        <w:t xml:space="preserve">+</w:t>
      </w:r>
      <w:r>
        <w:t xml:space="preserve"> </w:t>
      </w:r>
      <w:r>
        <w:t xml:space="preserve">path prefix (</w:t>
      </w:r>
      <w:r>
        <w:rPr>
          <w:rStyle w:val="VerbatimChar"/>
        </w:rPr>
        <w:t xml:space="preserve">"media" + ans.answersheet.answersheet_url.url[1:]</w:t>
      </w:r>
      <w:r>
        <w:t xml:space="preserve">)</w:t>
      </w:r>
      <w:r>
        <w:t xml:space="preserve"> </w:t>
      </w:r>
      <w:r>
        <w:t xml:space="preserve">rather than the</w:t>
      </w:r>
      <w:r>
        <w:t xml:space="preserve"> </w:t>
      </w:r>
      <w:r>
        <w:rPr>
          <w:rStyle w:val="VerbatimChar"/>
        </w:rPr>
        <w:t xml:space="preserve">settings.BASE_FILE_PATH</w:t>
      </w:r>
      <w:r>
        <w:t xml:space="preserve">-based approach used</w:t>
      </w:r>
      <w:r>
        <w:t xml:space="preserve"> </w:t>
      </w:r>
      <w:r>
        <w:t xml:space="preserve">elsewhere in this module (e.g. </w:t>
      </w:r>
      <w:r>
        <w:rPr>
          <w:rStyle w:val="VerbatimChar"/>
        </w:rPr>
        <w:t xml:space="preserve">serializers.py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SASerializer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answer_sheet_access.py</w:t>
      </w:r>
      <w:r>
        <w:t xml:space="preserve">) — worth checking these two approaches</w:t>
      </w:r>
      <w:r>
        <w:t xml:space="preserve"> </w:t>
      </w:r>
      <w:r>
        <w:t xml:space="preserve">actually produce the same working URL in the deployed environment.</w:t>
      </w:r>
    </w:p>
    <w:p>
      <w:pPr>
        <w:pStyle w:val="BodyText"/>
      </w:pPr>
      <w:r>
        <w:t xml:space="preserve">A leftover 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with a long string of digits is left at</w:t>
      </w:r>
      <w:r>
        <w:t xml:space="preserve"> </w:t>
      </w:r>
      <w:r>
        <w:t xml:space="preserve">the very top of the method, along with a hardcoded check for a</w:t>
      </w:r>
      <w:r>
        <w:t xml:space="preserve"> </w:t>
      </w:r>
      <w:r>
        <w:t xml:space="preserve">specific user id (</w:t>
      </w:r>
      <w:r>
        <w:rPr>
          <w:rStyle w:val="VerbatimChar"/>
        </w:rPr>
        <w:t xml:space="preserve">if user.id == 2001: print(...)</w:t>
      </w:r>
      <w:r>
        <w:t xml:space="preserve">) — the same</w:t>
      </w:r>
      <w:r>
        <w:t xml:space="preserve"> </w:t>
      </w:r>
      <w:r>
        <w:t xml:space="preserve">pattern seen in</w:t>
      </w:r>
      <w:r>
        <w:t xml:space="preserve"> </w:t>
      </w:r>
      <w:r>
        <w:rPr>
          <w:rStyle w:val="VerbatimChar"/>
        </w:rPr>
        <w:t xml:space="preserve">ExaminerProgram</w:t>
      </w:r>
      <w:r>
        <w:t xml:space="preserve"> </w:t>
      </w:r>
      <w:r>
        <w:t xml:space="preserve">in this same file.</w:t>
      </w:r>
    </w:p>
    <w:p>
      <w:pPr>
        <w:pStyle w:val="BodyText"/>
      </w:pPr>
      <w:r>
        <w:t xml:space="preserve">This class’s logic is duplicated almost exactly by</w:t>
      </w:r>
      <w:r>
        <w:t xml:space="preserve"> </w:t>
      </w:r>
      <w:r>
        <w:rPr>
          <w:rStyle w:val="VerbatimChar"/>
        </w:rPr>
        <w:t xml:space="preserve">RevaluationAnswersheetSubmit</w:t>
      </w:r>
      <w:r>
        <w:t xml:space="preserve"> </w:t>
      </w:r>
      <w:r>
        <w:t xml:space="preserve">later in this file — same structure,</w:t>
      </w:r>
      <w:r>
        <w:t xml:space="preserve"> </w:t>
      </w:r>
      <w:r>
        <w:t xml:space="preserve">swapping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RevaluationExaminerFalseNumber</w:t>
      </w:r>
      <w:r>
        <w:t xml:space="preserve"> </w:t>
      </w:r>
      <w:r>
        <w:t xml:space="preserve">throughout.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2026-08-28T05:29:11Z</dcterms:created>
  <dcterms:modified xsi:type="dcterms:W3CDTF">2026-08-28T05:29:11Z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