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answersheetdistributionsecond"/>
    <w:p>
      <w:pPr>
        <w:pStyle w:val="Heading1"/>
      </w:pPr>
      <w:r>
        <w:t xml:space="preserve">AnswersheetDistributionSecond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online_evaluation/answersheet_distribution.py</w:t>
      </w:r>
      <w:r>
        <w:t xml:space="preserve"> </w:t>
      </w:r>
      <w:r>
        <w:t xml:space="preserve">(class</w:t>
      </w:r>
      <w:r>
        <w:t xml:space="preserve"> </w:t>
      </w:r>
      <w:r>
        <w:rPr>
          <w:rStyle w:val="VerbatimChar"/>
        </w:rPr>
        <w:t xml:space="preserve">AnswersheetDistributionSecond</w:t>
      </w:r>
      <w:r>
        <w:t xml:space="preserve">) URL mapping:</w:t>
      </w:r>
      <w:r>
        <w:t xml:space="preserve"> </w:t>
      </w:r>
      <w:r>
        <w:rPr>
          <w:rStyle w:val="VerbatimChar"/>
        </w:rPr>
        <w:t xml:space="preserve">online_evaluation/urls.py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answersheet-distribution-second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(exam type list) /</w:t>
            </w:r>
            <w:r>
              <w:t xml:space="preserve"> </w:t>
            </w: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(allocate a batch, second level) ·</w:t>
            </w:r>
            <w:r>
              <w:t xml:space="preserve"> </w:t>
            </w:r>
            <w:r>
              <w:t xml:space="preserve">runs inside a database transaction</w:t>
            </w:r>
            <w:r>
              <w:t xml:space="preserve"> </w:t>
            </w:r>
            <w:r>
              <w:rPr>
                <w:rStyle w:val="VerbatimChar"/>
              </w:rPr>
              <w:t xml:space="preserve">AnswersheetDistributionSecond</w:t>
            </w:r>
          </w:p>
        </w:tc>
      </w:tr>
    </w:tbl>
    <w:bookmarkStart w:id="20" w:name="what-this-api-is-for"/>
    <w:p>
      <w:pPr>
        <w:pStyle w:val="Heading2"/>
      </w:pPr>
      <w:r>
        <w:t xml:space="preserve">What this API is for</w:t>
      </w:r>
    </w:p>
    <w:p>
      <w:pPr>
        <w:pStyle w:val="FirstParagraph"/>
      </w:pPr>
      <w:r>
        <w:t xml:space="preserve">The second-level counterpart to</w:t>
      </w:r>
      <w:r>
        <w:t xml:space="preserve"> </w:t>
      </w:r>
      <w:r>
        <w:rPr>
          <w:rStyle w:val="VerbatimChar"/>
        </w:rPr>
        <w:t xml:space="preserve">AnswersheetDistribution</w:t>
      </w:r>
      <w:r>
        <w:t xml:space="preserve"> </w:t>
      </w:r>
      <w:r>
        <w:t xml:space="preserve">— hands a</w:t>
      </w:r>
      <w:r>
        <w:t xml:space="preserve"> </w:t>
      </w:r>
      <w:r>
        <w:t xml:space="preserve">batch of sheets to a second examiner for an independent second</w:t>
      </w:r>
      <w:r>
        <w:t xml:space="preserve"> </w:t>
      </w:r>
      <w:r>
        <w:t xml:space="preserve">opinion, following the same overall bundle-creation-or-extend shape.</w:t>
      </w:r>
    </w:p>
    <w:bookmarkEnd w:id="20"/>
    <w:bookmarkStart w:id="21" w:name="request"/>
    <w:p>
      <w:pPr>
        <w:pStyle w:val="Heading2"/>
      </w:pPr>
      <w:r>
        <w:t xml:space="preserve">Request</w:t>
      </w:r>
    </w:p>
    <w:p>
      <w:pPr>
        <w:pStyle w:val="FirstParagraph"/>
      </w:pPr>
      <w:r>
        <w:t xml:space="preserve">Same fields as</w:t>
      </w:r>
      <w:r>
        <w:t xml:space="preserve"> </w:t>
      </w:r>
      <w:r>
        <w:rPr>
          <w:rStyle w:val="VerbatimChar"/>
        </w:rPr>
        <w:t xml:space="preserve">AnswersheetDistribution</w:t>
      </w:r>
      <w:r>
        <w:t xml:space="preserve">.</w:t>
      </w:r>
    </w:p>
    <w:bookmarkEnd w:id="21"/>
    <w:bookmarkStart w:id="22" w:name="how-it-works-step-by-step"/>
    <w:p>
      <w:pPr>
        <w:pStyle w:val="Heading2"/>
      </w:pPr>
      <w:r>
        <w:t xml:space="preserve">How it works — step by step</w:t>
      </w:r>
    </w:p>
    <w:p>
      <w:pPr>
        <w:pStyle w:val="FirstParagraph"/>
      </w:pPr>
      <w:r>
        <w:t xml:space="preserve">Follows the same steps as</w:t>
      </w:r>
      <w:r>
        <w:t xml:space="preserve"> </w:t>
      </w:r>
      <w:r>
        <w:rPr>
          <w:rStyle w:val="VerbatimChar"/>
        </w:rPr>
        <w:t xml:space="preserve">AnswersheetDistribution</w:t>
      </w:r>
      <w:r>
        <w:t xml:space="preserve"> </w:t>
      </w:r>
      <w:r>
        <w:t xml:space="preserve">— QP-camp</w:t>
      </w:r>
      <w:r>
        <w:t xml:space="preserve"> </w:t>
      </w:r>
      <w:r>
        <w:t xml:space="preserve">validation, PG/Chief Examiner block, exclusion-set building, sheet</w:t>
      </w:r>
      <w:r>
        <w:t xml:space="preserve"> </w:t>
      </w:r>
      <w:r>
        <w:t xml:space="preserve">allocation, bundle create-or-extend — with one deliberate difference</w:t>
      </w:r>
      <w:r>
        <w:t xml:space="preserve"> </w:t>
      </w:r>
      <w:r>
        <w:t xml:space="preserve">in eligibility: sheets already allocated at the second level (via</w:t>
      </w:r>
      <w:r>
        <w:t xml:space="preserve"> </w:t>
      </w:r>
      <w:r>
        <w:rPr>
          <w:rStyle w:val="VerbatimChar"/>
        </w:rPr>
        <w:t xml:space="preserve">ExaminerFalseNumber</w:t>
      </w:r>
      <w:r>
        <w:t xml:space="preserve"> </w:t>
      </w:r>
      <w:r>
        <w:t xml:space="preserve">with evaluation type</w:t>
      </w:r>
      <w:r>
        <w:t xml:space="preserve"> </w:t>
      </w:r>
      <w:r>
        <w:rPr>
          <w:rStyle w:val="VerbatimChar"/>
        </w:rPr>
        <w:t xml:space="preserve">102</w:t>
      </w:r>
      <w:r>
        <w:t xml:space="preserve">) are excluded</w:t>
      </w:r>
      <w:r>
        <w:t xml:space="preserve"> </w:t>
      </w:r>
      <w:r>
        <w:t xml:space="preserve">directly,</w:t>
      </w:r>
      <w:r>
        <w:t xml:space="preserve"> </w:t>
      </w:r>
      <w:r>
        <w:rPr>
          <w:bCs/>
          <w:b/>
        </w:rPr>
        <w:t xml:space="preserve">without requiring the first level to already be done</w:t>
      </w:r>
      <w:r>
        <w:t xml:space="preserve">.</w:t>
      </w:r>
      <w:r>
        <w:t xml:space="preserve"> </w:t>
      </w:r>
      <w:r>
        <w:t xml:space="preserve">The code’s own comments explain this was a specific fix: an earlier</w:t>
      </w:r>
      <w:r>
        <w:t xml:space="preserve"> </w:t>
      </w:r>
      <w:r>
        <w:t xml:space="preserve">version required first-level completion before second-level</w:t>
      </w:r>
      <w:r>
        <w:t xml:space="preserve"> </w:t>
      </w:r>
      <w:r>
        <w:t xml:space="preserve">allocation could happen at all, and this was changed so the two</w:t>
      </w:r>
      <w:r>
        <w:t xml:space="preserve"> </w:t>
      </w:r>
      <w:r>
        <w:t xml:space="preserve">levels can now run before, after, or in parallel with each other.</w:t>
      </w:r>
    </w:p>
    <w:bookmarkEnd w:id="22"/>
    <w:bookmarkStart w:id="23" w:name="response"/>
    <w:p>
      <w:pPr>
        <w:pStyle w:val="Heading2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{"status": true, "message": "success", "data": {"count": 40, "bal": 0, "bundle_code": "QP1001EC001001"}, "status_code": 201}</w:t>
      </w:r>
    </w:p>
    <w:bookmarkEnd w:id="23"/>
    <w:bookmarkStart w:id="24" w:name="notes-issues-found"/>
    <w:p>
      <w:pPr>
        <w:pStyle w:val="Heading2"/>
      </w:pPr>
      <w:r>
        <w:t xml:space="preserve">Notes / issues found</w:t>
      </w:r>
    </w:p>
    <w:p>
      <w:pPr>
        <w:pStyle w:val="FirstParagraph"/>
      </w:pPr>
      <w:r>
        <w:rPr>
          <w:bCs/>
          <w:b/>
        </w:rPr>
        <w:t xml:space="preserve">Same compute-then-discard exclusion-list bug as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AnswersheetDistribution</w:t>
      </w:r>
      <w:r>
        <w:rPr>
          <w:bCs/>
          <w:b/>
        </w:rPr>
        <w:t xml:space="preserve">.</w:t>
      </w:r>
      <w:r>
        <w:t xml:space="preserve"> </w:t>
      </w:r>
      <w:r>
        <w:t xml:space="preserve">The genuine chief-evaluated-sheets query</w:t>
      </w:r>
      <w:r>
        <w:t xml:space="preserve"> </w:t>
      </w:r>
      <w:r>
        <w:t xml:space="preserve">result is logged, then immediately overwritten with an empty list</w:t>
      </w:r>
      <w:r>
        <w:t xml:space="preserve"> </w:t>
      </w:r>
      <w:r>
        <w:t xml:space="preserve">before being used — see</w:t>
      </w:r>
      <w:r>
        <w:t xml:space="preserve"> </w:t>
      </w:r>
      <w:r>
        <w:rPr>
          <w:rStyle w:val="VerbatimChar"/>
        </w:rPr>
        <w:t xml:space="preserve">AnswersheetDistribution.docx</w:t>
      </w:r>
      <w:r>
        <w:t xml:space="preserve"> </w:t>
      </w:r>
      <w:r>
        <w:t xml:space="preserve">for the full</w:t>
      </w:r>
      <w:r>
        <w:t xml:space="preserve"> </w:t>
      </w:r>
      <w:r>
        <w:t xml:space="preserve">explanation; the effect here is identical.</w:t>
      </w:r>
    </w:p>
    <w:p>
      <w:pPr>
        <w:pStyle w:val="BodyText"/>
      </w:pPr>
      <w:r>
        <w:rPr>
          <w:bCs/>
          <w:b/>
        </w:rPr>
        <w:t xml:space="preserve">Same missing None-check</w:t>
      </w:r>
      <w:r>
        <w:t xml:space="preserve"> </w:t>
      </w:r>
      <w:r>
        <w:t xml:space="preserve">on the</w:t>
      </w:r>
      <w:r>
        <w:t xml:space="preserve"> </w:t>
      </w:r>
      <w:r>
        <w:rPr>
          <w:rStyle w:val="VerbatimChar"/>
        </w:rPr>
        <w:t xml:space="preserve">digi.exam_registration_course...</w:t>
      </w:r>
      <w:r>
        <w:t xml:space="preserve"> </w:t>
      </w:r>
      <w:r>
        <w:t xml:space="preserve">lookup chain, and the</w:t>
      </w:r>
      <w:r>
        <w:t xml:space="preserve"> </w:t>
      </w:r>
      <w:r>
        <w:rPr>
          <w:bCs/>
          <w:b/>
        </w:rPr>
        <w:t xml:space="preserve">same roughly 150-line bundle-creation-or-extend</w:t>
      </w:r>
      <w:r>
        <w:rPr>
          <w:bCs/>
          <w:b/>
        </w:rPr>
        <w:t xml:space="preserve"> </w:t>
      </w:r>
      <w:r>
        <w:rPr>
          <w:bCs/>
          <w:b/>
        </w:rPr>
        <w:t xml:space="preserve">logic repeated a second time</w:t>
      </w:r>
      <w:r>
        <w:t xml:space="preserve"> </w:t>
      </w:r>
      <w:r>
        <w:t xml:space="preserve">in this file rather than shared.</w:t>
      </w:r>
    </w:p>
    <w:p>
      <w:pPr>
        <w:pStyle w:val="BodyText"/>
      </w:pPr>
      <w:r>
        <w:rPr>
          <w:bCs/>
          <w:b/>
        </w:rPr>
        <w:t xml:space="preserve">The decoupling of first- and second-level allocation is a good,</w:t>
      </w:r>
      <w:r>
        <w:rPr>
          <w:bCs/>
          <w:b/>
        </w:rPr>
        <w:t xml:space="preserve"> </w:t>
      </w:r>
      <w:r>
        <w:rPr>
          <w:bCs/>
          <w:b/>
        </w:rPr>
        <w:t xml:space="preserve">clearly-explained fix</w:t>
      </w:r>
      <w:r>
        <w:t xml:space="preserve"> </w:t>
      </w:r>
      <w:r>
        <w:t xml:space="preserve">— the superseded, stricter logic is kept</w:t>
      </w:r>
      <w:r>
        <w:t xml:space="preserve"> </w:t>
      </w:r>
      <w:r>
        <w:t xml:space="preserve">directly commented out below the new version for reference, giving a</w:t>
      </w:r>
      <w:r>
        <w:t xml:space="preserve"> </w:t>
      </w:r>
      <w:r>
        <w:t xml:space="preserve">future reader the full context for why the change was made.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2026-08-28T05:41:55Z</dcterms:created>
  <dcterms:modified xsi:type="dcterms:W3CDTF">2026-08-28T05:41:55Z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