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arkentry.py-overview"/>
    <w:p>
      <w:pPr>
        <w:pStyle w:val="Heading1"/>
      </w:pPr>
      <w:r>
        <w:t xml:space="preserve">markentry.py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 </w:t>
      </w:r>
      <w:r>
        <w:t xml:space="preserve">(2,269 lines) 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p>
      <w:pPr>
        <w:pStyle w:val="BodyText"/>
      </w:pPr>
      <w:r>
        <w:t xml:space="preserve">The largest file in the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 </w:t>
      </w:r>
      <w:r>
        <w:t xml:space="preserve">module. Split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view class, per the agreed convention for very large</w:t>
      </w:r>
      <w:r>
        <w:t xml:space="preserve"> </w:t>
      </w:r>
      <w:r>
        <w:t xml:space="preserve">files.</w:t>
      </w:r>
    </w:p>
    <w:bookmarkStart w:id="20" w:name="Xfde667a0c29106e49065eba182138387aa99ce0"/>
    <w:p>
      <w:pPr>
        <w:pStyle w:val="Heading2"/>
      </w:pPr>
      <w:r>
        <w:t xml:space="preserve">What this source file is for, and how to read it</w:t>
      </w:r>
    </w:p>
    <w:p>
      <w:pPr>
        <w:pStyle w:val="FirstParagraph"/>
      </w:pPr>
      <w:r>
        <w:t xml:space="preserve">This is the examiner’s actual mark-entry screen and the endpoints</w:t>
      </w:r>
      <w:r>
        <w:t xml:space="preserve"> </w:t>
      </w:r>
      <w:r>
        <w:t xml:space="preserve">that save what they enter — fetching a candidate’s answer sheet and</w:t>
      </w:r>
      <w:r>
        <w:t xml:space="preserve"> </w:t>
      </w:r>
      <w:r>
        <w:t xml:space="preserve">answer key for review, saving a mark (using the same</w:t>
      </w:r>
      <w:r>
        <w:t xml:space="preserve"> </w:t>
      </w:r>
      <w:r>
        <w:t xml:space="preserve">chief-overwrites / two-examiner-average / nearest-mark-tiebreak</w:t>
      </w:r>
      <w:r>
        <w:t xml:space="preserve"> </w:t>
      </w:r>
      <w:r>
        <w:t xml:space="preserve">algorithm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 </w:t>
      </w:r>
      <w:r>
        <w:t xml:space="preserve">documents), the equivalent</w:t>
      </w:r>
      <w:r>
        <w:t xml:space="preserve"> </w:t>
      </w:r>
      <w:r>
        <w:t xml:space="preserve">flows for project-type courses and for revaluation, and a handful of</w:t>
      </w:r>
      <w:r>
        <w:t xml:space="preserve"> </w:t>
      </w:r>
      <w:r>
        <w:t xml:space="preserve">smaller supporting endpoints.</w:t>
      </w:r>
    </w:p>
    <w:p>
      <w:pPr>
        <w:pStyle w:val="BodyText"/>
      </w:pPr>
      <w:r>
        <w:t xml:space="preserve">A sensible reading order: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Markupdate</w:t>
      </w:r>
      <w:r>
        <w:t xml:space="preserve"> </w:t>
      </w:r>
      <w:r>
        <w:t xml:space="preserve">— loads the mark-entry screen for one candidate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Markupload</w:t>
      </w:r>
      <w:r>
        <w:t xml:space="preserve"> </w:t>
      </w:r>
      <w:r>
        <w:t xml:space="preserve">— saves a mark for a regular course — read this</w:t>
      </w:r>
      <w:r>
        <w:t xml:space="preserve"> </w:t>
      </w:r>
      <w:r>
        <w:t xml:space="preserve">one carefully, it’s the most important endpoint in this entire</w:t>
      </w:r>
      <w:r>
        <w:t xml:space="preserve"> </w:t>
      </w:r>
      <w:r>
        <w:t xml:space="preserve">module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ProjectMarkupload</w:t>
      </w:r>
      <w:r>
        <w:t xml:space="preserve"> </w:t>
      </w:r>
      <w:r>
        <w:t xml:space="preserve">— the same save action, for project-type</w:t>
      </w:r>
      <w:r>
        <w:t xml:space="preserve"> </w:t>
      </w:r>
      <w:r>
        <w:t xml:space="preserve">courses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OnscreenRevaluationMarkUpdate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OnscreenRevaluationMarkUpload</w:t>
      </w:r>
      <w:r>
        <w:t xml:space="preserve"> </w:t>
      </w:r>
      <w:r>
        <w:t xml:space="preserve">— the same load/save pair, for the revaluation flow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Examinerqpcode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ServeFile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Smpl</w:t>
      </w:r>
      <w:r>
        <w:t xml:space="preserve"> </w:t>
      </w:r>
      <w:r>
        <w:t xml:space="preserve">— smaller</w:t>
      </w:r>
      <w:r>
        <w:t xml:space="preserve"> </w:t>
      </w:r>
      <w:r>
        <w:t xml:space="preserve">supporting endpoints, two of which have serious bugs of their own</w:t>
      </w:r>
    </w:p>
    <w:bookmarkEnd w:id="20"/>
    <w:bookmarkStart w:id="21" w:name="X029a2504284dfbc85756f2b609aba8b5de1ba4e"/>
    <w:p>
      <w:pPr>
        <w:pStyle w:val="Heading2"/>
      </w:pPr>
      <w:r>
        <w:t xml:space="preserve">The single most important thing to understand about this whole module</w:t>
      </w:r>
    </w:p>
    <w:p>
      <w:pPr>
        <w:pStyle w:val="FirstParagraph"/>
      </w:pPr>
      <w:r>
        <w:rPr>
          <w:rStyle w:val="VerbatimChar"/>
          <w:bCs/>
          <w:b/>
        </w:rPr>
        <w:t xml:space="preserve">Markupload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ProjectMarkupload</w:t>
      </w:r>
      <w:r>
        <w:rPr>
          <w:bCs/>
          <w:b/>
        </w:rPr>
        <w:t xml:space="preserve"> </w:t>
      </w:r>
      <w:r>
        <w:rPr>
          <w:bCs/>
          <w:b/>
        </w:rPr>
        <w:t xml:space="preserve">— the two endpoints that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save a candidate’s mark — cannot record a Chief Examiner’s</w:t>
      </w:r>
      <w:r>
        <w:rPr>
          <w:bCs/>
          <w:b/>
        </w:rPr>
        <w:t xml:space="preserve"> </w:t>
      </w:r>
      <w:r>
        <w:rPr>
          <w:bCs/>
          <w:b/>
        </w:rPr>
        <w:t xml:space="preserve">mark as authoritative.</w:t>
      </w:r>
      <w:r>
        <w:t xml:space="preserve"> </w:t>
      </w:r>
      <w:r>
        <w:t xml:space="preserve">Both compute a real</w:t>
      </w:r>
      <w:r>
        <w:t xml:space="preserve"> </w:t>
      </w:r>
      <w:r>
        <w:t xml:space="preserve">“</w:t>
      </w:r>
      <w:r>
        <w:t xml:space="preserve">is this caller a Chief</w:t>
      </w:r>
      <w:r>
        <w:t xml:space="preserve"> </w:t>
      </w:r>
      <w:r>
        <w:t xml:space="preserve">Examiner</w:t>
      </w:r>
      <w:r>
        <w:t xml:space="preserve">”</w:t>
      </w:r>
      <w:r>
        <w:t xml:space="preserve"> </w:t>
      </w:r>
      <w:r>
        <w:t xml:space="preserve">check and then immediately overwrite it with a hardcoded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on the very next line. This permanently disables the branch</w:t>
      </w:r>
      <w:r>
        <w:t xml:space="preserve"> </w:t>
      </w:r>
      <w:r>
        <w:t xml:space="preserve">where a Chief’s submitted mark becomes the candidate’s final,</w:t>
      </w:r>
      <w:r>
        <w:t xml:space="preserve"> </w:t>
      </w:r>
      <w:r>
        <w:t xml:space="preserve">authoritative mark; every mark submitted through these two endpoints</w:t>
      </w:r>
      <w:r>
        <w:t xml:space="preserve"> </w:t>
      </w:r>
      <w:r>
        <w:t xml:space="preserve">— including a Chief’s — is instead run through the peer-averaging</w:t>
      </w:r>
      <w:r>
        <w:t xml:space="preserve"> </w:t>
      </w:r>
      <w:r>
        <w:t xml:space="preserve">logic meant only for Additional Examiners. See</w:t>
      </w:r>
      <w:r>
        <w:t xml:space="preserve"> </w:t>
      </w:r>
      <w:r>
        <w:rPr>
          <w:rStyle w:val="VerbatimChar"/>
        </w:rPr>
        <w:t xml:space="preserve">Markupload.docx</w:t>
      </w:r>
      <w:r>
        <w:t xml:space="preserve"> </w:t>
      </w:r>
      <w:r>
        <w:t xml:space="preserve">for</w:t>
      </w:r>
      <w:r>
        <w:t xml:space="preserve"> </w:t>
      </w:r>
      <w:r>
        <w:t xml:space="preserve">the full code excerpt and walkthrough. This directly affects what</w:t>
      </w:r>
      <w:r>
        <w:t xml:space="preserve"> </w:t>
      </w:r>
      <w:r>
        <w:t xml:space="preserve">mark actually gets recorded for a real candidate, not just a</w:t>
      </w:r>
      <w:r>
        <w:t xml:space="preserve"> </w:t>
      </w:r>
      <w:r>
        <w:t xml:space="preserve">code-quality concern — it’s worth treating as the top-priority</w:t>
      </w:r>
      <w:r>
        <w:t xml:space="preserve"> </w:t>
      </w:r>
      <w:r>
        <w:t xml:space="preserve">finding across the entire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 </w:t>
      </w:r>
      <w:r>
        <w:t xml:space="preserve">module.</w:t>
      </w:r>
    </w:p>
    <w:bookmarkEnd w:id="21"/>
    <w:bookmarkStart w:id="22" w:name="X589052a0b8555bca4034d910b0cf26eafcf6c4b"/>
    <w:p>
      <w:pPr>
        <w:pStyle w:val="Heading2"/>
      </w:pPr>
      <w:r>
        <w:t xml:space="preserve">Two more serious, independent bugs in this file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ServeFile</w:t>
      </w:r>
      <w:r>
        <w:t xml:space="preserve"> </w:t>
      </w:r>
      <w:r>
        <w:t xml:space="preserve">reads the requested answer-sheet id from the</w:t>
      </w:r>
      <w:r>
        <w:t xml:space="preserve"> </w:t>
      </w:r>
      <w:r>
        <w:t xml:space="preserve">request and then immediately overwrites it with the hardcoded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— every single call to this endpoint serves the exact</w:t>
      </w:r>
      <w:r>
        <w:t xml:space="preserve"> </w:t>
      </w:r>
      <w:r>
        <w:t xml:space="preserve">same one file, regardless of what was actually asked for.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Examinerqpcode</w:t>
      </w:r>
      <w:r>
        <w:t xml:space="preserve"> </w:t>
      </w:r>
      <w:r>
        <w:t xml:space="preserve">reads a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from the request but never</w:t>
      </w:r>
      <w:r>
        <w:t xml:space="preserve"> </w:t>
      </w:r>
      <w:r>
        <w:t xml:space="preserve">uses it anywhere in its query — it calls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on the entire,</w:t>
      </w:r>
      <w:r>
        <w:t xml:space="preserve"> </w:t>
      </w:r>
      <w:r>
        <w:t xml:space="preserve">completely unfiltered table instead, so every caller gets back</w:t>
      </w:r>
      <w:r>
        <w:t xml:space="preserve"> </w:t>
      </w:r>
      <w:r>
        <w:t xml:space="preserve">whatever row happens to be first in the table, unrelated to their</w:t>
      </w:r>
      <w:r>
        <w:t xml:space="preserve"> </w:t>
      </w:r>
      <w:r>
        <w:t xml:space="preserve">actual request.</w:t>
      </w:r>
    </w:p>
    <w:p>
      <w:pPr>
        <w:pStyle w:val="FirstParagraph"/>
      </w:pPr>
      <w:r>
        <w:t xml:space="preserve">Both are documented in full in their own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ServeFile.docx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Examinerqpcode.docx</w:t>
      </w:r>
      <w:r>
        <w:t xml:space="preserve">).</w:t>
      </w:r>
    </w:p>
    <w:bookmarkEnd w:id="22"/>
    <w:bookmarkStart w:id="23" w:name="X59d25f9a8d356e606d9e35cc040c6ac8c330a8d"/>
    <w:p>
      <w:pPr>
        <w:pStyle w:val="Heading2"/>
      </w:pPr>
      <w:r>
        <w:t xml:space="preserve">Non-API content in this file (not separately documented)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EmailThread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Cs/>
          <w:b/>
        </w:rPr>
        <w:t xml:space="preserve">Util.send_email(data)</w:t>
      </w:r>
      <w:r>
        <w:t xml:space="preserve"> </w:t>
      </w:r>
      <w:r>
        <w:t xml:space="preserve">— a small</w:t>
      </w:r>
      <w:r>
        <w:t xml:space="preserve"> </w:t>
      </w:r>
      <w:r>
        <w:t xml:space="preserve">fire-and-forget email-sending helper (spawns a background thread,</w:t>
      </w:r>
      <w:r>
        <w:t xml:space="preserve"> </w:t>
      </w:r>
      <w:r>
        <w:t xml:space="preserve">calls Django’s</w:t>
      </w:r>
      <w:r>
        <w:t xml:space="preserve"> </w:t>
      </w:r>
      <w:r>
        <w:rPr>
          <w:rStyle w:val="VerbatimChar"/>
        </w:rPr>
        <w:t xml:space="preserve">EmailMessage.send()</w:t>
      </w:r>
      <w:r>
        <w:t xml:space="preserve">). Not URL-mapped, no issues</w:t>
      </w:r>
      <w:r>
        <w:t xml:space="preserve"> </w:t>
      </w:r>
      <w:r>
        <w:t xml:space="preserve">found.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Module-level crypto/formatting helpers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round_off()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mark_encrpt()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mark_decrypt()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passmark_encrpt()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data_encrpt()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data_decrpt()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nearest_mark()</w:t>
      </w:r>
      <w:r>
        <w:t xml:space="preserve"> </w:t>
      </w:r>
      <w:r>
        <w:t xml:space="preserve">— the same</w:t>
      </w:r>
      <w:r>
        <w:t xml:space="preserve"> </w:t>
      </w:r>
      <w:r>
        <w:t xml:space="preserve">Fernet-based mark-handling helpers defined nearly identically in</w:t>
      </w:r>
      <w:r>
        <w:t xml:space="preserve"> </w:t>
      </w:r>
      <w:r>
        <w:rPr>
          <w:rStyle w:val="VerbatimChar"/>
        </w:rPr>
        <w:t xml:space="preserve">answersheet_allocate.py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online_cheif_evaluate.py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onscreen_mark_compare.py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answersheet_distribution.py</w:t>
      </w:r>
      <w:r>
        <w:t xml:space="preserve">. By</w:t>
      </w:r>
      <w:r>
        <w:t xml:space="preserve"> </w:t>
      </w:r>
      <w:r>
        <w:t xml:space="preserve">this file, that’s</w:t>
      </w:r>
      <w:r>
        <w:t xml:space="preserve"> </w:t>
      </w:r>
      <w:r>
        <w:rPr>
          <w:bCs/>
          <w:b/>
        </w:rPr>
        <w:t xml:space="preserve">five separate copies</w:t>
      </w:r>
      <w:r>
        <w:t xml:space="preserve"> </w:t>
      </w:r>
      <w:r>
        <w:t xml:space="preserve">of essentially the same</w:t>
      </w:r>
      <w:r>
        <w:t xml:space="preserve"> </w:t>
      </w:r>
      <w:r>
        <w:t xml:space="preserve">helper set across the module — the single most-repeated piece of</w:t>
      </w:r>
      <w:r>
        <w:t xml:space="preserve"> </w:t>
      </w:r>
      <w:r>
        <w:t xml:space="preserve">logic anywhere in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roughly 180-line, fully-written-out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Bundleapprove</w:t>
      </w:r>
      <w:r>
        <w:rPr>
          <w:bCs/>
          <w:b/>
        </w:rPr>
        <w:t xml:space="preserve"> </w:t>
      </w:r>
      <w:r>
        <w:rPr>
          <w:bCs/>
          <w:b/>
        </w:rPr>
        <w:t xml:space="preserve">class is</w:t>
      </w:r>
      <w:r>
        <w:rPr>
          <w:bCs/>
          <w:b/>
        </w:rPr>
        <w:t xml:space="preserve"> </w:t>
      </w:r>
      <w:r>
        <w:rPr>
          <w:bCs/>
          <w:b/>
        </w:rPr>
        <w:t xml:space="preserve">left entirely commented out</w:t>
      </w:r>
      <w:r>
        <w:t xml:space="preserve"> </w:t>
      </w:r>
      <w:r>
        <w:t xml:space="preserve">near the top of the file — an</w:t>
      </w:r>
      <w:r>
        <w:t xml:space="preserve"> </w:t>
      </w:r>
      <w:r>
        <w:t xml:space="preserve">alternate/earlier implementation of a bundle-approval flow that’s</w:t>
      </w:r>
      <w:r>
        <w:t xml:space="preserve"> </w:t>
      </w:r>
      <w:r>
        <w:t xml:space="preserve">never executed. This is the same</w:t>
      </w:r>
      <w:r>
        <w:t xml:space="preserve"> </w:t>
      </w:r>
      <w:r>
        <w:t xml:space="preserve">“</w:t>
      </w:r>
      <w:r>
        <w:t xml:space="preserve">large block of dead, working code</w:t>
      </w:r>
      <w:r>
        <w:t xml:space="preserve"> </w:t>
      </w:r>
      <w:r>
        <w:t xml:space="preserve">left in place rather than deleted</w:t>
      </w:r>
      <w:r>
        <w:t xml:space="preserve">”</w:t>
      </w:r>
      <w:r>
        <w:t xml:space="preserve"> </w:t>
      </w:r>
      <w:r>
        <w:t xml:space="preserve">pattern flagged as the single</w:t>
      </w:r>
      <w:r>
        <w:t xml:space="preserve"> </w:t>
      </w:r>
      <w:r>
        <w:t xml:space="preserve">most extreme instance of that issue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 own overview</w:t>
      </w:r>
      <w:r>
        <w:t xml:space="preserve"> </w:t>
      </w:r>
      <w:r>
        <w:t xml:space="preserve">(coincidentally, in a class also named</w:t>
      </w:r>
      <w:r>
        <w:t xml:space="preserve"> </w:t>
      </w:r>
      <w:r>
        <w:rPr>
          <w:rStyle w:val="VerbatimChar"/>
        </w:rPr>
        <w:t xml:space="preserve">Bundleapprove</w:t>
      </w:r>
      <w:r>
        <w:t xml:space="preserve"> </w:t>
      </w:r>
      <w:r>
        <w:t xml:space="preserve">there) —</w:t>
      </w:r>
      <w:r>
        <w:t xml:space="preserve"> </w:t>
      </w:r>
      <w:r>
        <w:t xml:space="preserve">worth prioritizing for cleanup here too.</w:t>
      </w:r>
    </w:p>
    <w:bookmarkEnd w:id="23"/>
    <w:bookmarkStart w:id="24" w:name="Xc893cc66e1ba6bf487446f637f2714eb4a5c9b6"/>
    <w:p>
      <w:pPr>
        <w:pStyle w:val="Heading2"/>
      </w:pPr>
      <w:r>
        <w:t xml:space="preserve">Other patterns that show up across this file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same silently-skipped SMP branch flagged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camp_mgmt</w:t>
      </w:r>
      <w:r>
        <w:rPr>
          <w:bCs/>
          <w:b/>
        </w:rPr>
        <w:t xml:space="preserve">’s own</w:t>
      </w:r>
      <w:r>
        <w:rPr>
          <w:bCs/>
          <w:b/>
        </w:rPr>
        <w:t xml:space="preserve"> </w:t>
      </w:r>
      <w:r>
        <w:rPr>
          <w:bCs/>
          <w:b/>
        </w:rPr>
        <w:t xml:space="preserve">documentation reappears verbatim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ProjectMarkupload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OnscreenRevaluationMarkUpload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if mark.get("smp_status") == True: print("condition in future")</w:t>
      </w:r>
      <w:r>
        <w:t xml:space="preserve"> </w:t>
      </w:r>
      <w:r>
        <w:t xml:space="preserve">—</w:t>
      </w:r>
      <w:r>
        <w:t xml:space="preserve"> </w:t>
      </w:r>
      <w:r>
        <w:t xml:space="preserve">an SMP-flagged submission does nothing but print a line, rather</w:t>
      </w:r>
      <w:r>
        <w:t xml:space="preserve"> </w:t>
      </w:r>
      <w:r>
        <w:t xml:space="preserve">than taking any SMP-specific action.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None of this file’s mark-saving endpoints wrap their writes in a</w:t>
      </w:r>
      <w:r>
        <w:rPr>
          <w:bCs/>
          <w:b/>
        </w:rPr>
        <w:t xml:space="preserve"> </w:t>
      </w:r>
      <w:r>
        <w:rPr>
          <w:bCs/>
          <w:b/>
        </w:rPr>
        <w:t xml:space="preserve">database transaction</w:t>
      </w:r>
      <w:r>
        <w:t xml:space="preserve">, despite each performing a substantial</w:t>
      </w:r>
      <w:r>
        <w:t xml:space="preserve"> </w:t>
      </w:r>
      <w:r>
        <w:t xml:space="preserve">sequence of related writes across several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ExaminerFalseNumberMark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ScannedAnswersheetMark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OnscreenValuationMarkUploadLog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format_response()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pagination_response()</w:t>
      </w:r>
      <w:r>
        <w:rPr>
          <w:bCs/>
          <w:b/>
        </w:rPr>
        <w:t xml:space="preserve"> </w:t>
      </w:r>
      <w:r>
        <w:rPr>
          <w:bCs/>
          <w:b/>
        </w:rPr>
        <w:t xml:space="preserve">are used</w:t>
      </w:r>
      <w:r>
        <w:rPr>
          <w:bCs/>
          <w:b/>
        </w:rPr>
        <w:t xml:space="preserve"> </w:t>
      </w:r>
      <w:r>
        <w:rPr>
          <w:bCs/>
          <w:b/>
        </w:rPr>
        <w:t xml:space="preserve">inconsistently within single methods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OnscreenRevaluationMarkUpload</w:t>
      </w:r>
      <w:r>
        <w:t xml:space="preserve">) — the same two-helper mixing</w:t>
      </w:r>
      <w:r>
        <w:t xml:space="preserve"> </w:t>
      </w:r>
      <w:r>
        <w:t xml:space="preserve">pattern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 own overview raised for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2026-08-28T05:45:55Z</dcterms:created>
  <dcterms:modified xsi:type="dcterms:W3CDTF">2026-08-28T05:45:55Z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