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prgmwiseschemesyllabuslist"/>
    <w:p>
      <w:pPr>
        <w:pStyle w:val="Heading1"/>
      </w:pPr>
      <w:r>
        <w:t xml:space="preserve">CaPrgmwiseSchemeSyllabusList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CaPrgmwiseSchemeSyllabusList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css-ca-syllbs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CaPrgmwiseSchemeSyllabusList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 finds the programme’s schemes, then the</w:t>
      </w:r>
      <w:r>
        <w:t xml:space="preserve"> </w:t>
      </w:r>
      <w:r>
        <w:t xml:space="preserve">distinct admission years those schemes’ syllabuses cover — the same</w:t>
      </w:r>
      <w:r>
        <w:t xml:space="preserve"> </w:t>
      </w:r>
      <w:r>
        <w:t xml:space="preserve">shape as the equivalent endpoint in</w:t>
      </w:r>
      <w:r>
        <w:t xml:space="preserve"> </w:t>
      </w:r>
      <w:r>
        <w:rPr>
          <w:rStyle w:val="VerbatimChar"/>
        </w:rPr>
        <w:t xml:space="preserve">project_lab_mark.py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online_course_mark_entry.py</w:t>
      </w:r>
      <w:r>
        <w:t xml:space="preserve">. No issues 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2026-08-28T10:21:04Z</dcterms:created>
  <dcterms:modified xsi:type="dcterms:W3CDTF">2026-08-28T10:21:04Z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