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teacherprogramsemesterlist"/>
    <w:p>
      <w:pPr>
        <w:pStyle w:val="Heading1"/>
      </w:pPr>
      <w:r>
        <w:t xml:space="preserve">CaTeacherprogramSemesterList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CaTeacherprogramSemesterList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CaTeacherprogramSemesterList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, returns the programme’s active semesters — the</w:t>
      </w:r>
      <w:r>
        <w:t xml:space="preserve"> </w:t>
      </w:r>
      <w:r>
        <w:t xml:space="preserve">second step of the entry flow.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