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teacherviewprogramsemesterlist"/>
    <w:p>
      <w:pPr>
        <w:pStyle w:val="Heading1"/>
      </w:pPr>
      <w:r>
        <w:t xml:space="preserve">CaTeacherviewprogramSemesterList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CaTeacherviewprogramSemesterList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css-ca-semview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CaTeacherviewprogramSemesterList</w:t>
            </w:r>
          </w:p>
        </w:tc>
      </w:tr>
    </w:tbl>
    <w:p>
      <w:pPr>
        <w:pStyle w:val="BodyText"/>
      </w:pPr>
      <w:r>
        <w:t xml:space="preserve">Identical logic to</w:t>
      </w:r>
      <w:r>
        <w:t xml:space="preserve"> </w:t>
      </w:r>
      <w:r>
        <w:rPr>
          <w:rStyle w:val="VerbatimChar"/>
        </w:rPr>
        <w:t xml:space="preserve">CaTeacherprogramSemesterList</w:t>
      </w:r>
      <w:r>
        <w:t xml:space="preserve">, tagged for the</w:t>
      </w:r>
      <w:r>
        <w:t xml:space="preserve"> </w:t>
      </w:r>
      <w:r>
        <w:t xml:space="preserve">view-flow template. No issues found.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2026-08-28T10:21:03Z</dcterms:created>
  <dcterms:modified xsi:type="dcterms:W3CDTF">2026-08-28T10:21:03Z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