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ssinternalmarkview"/>
    <w:p>
      <w:pPr>
        <w:pStyle w:val="Heading1"/>
      </w:pPr>
      <w:r>
        <w:t xml:space="preserve">CssInternalMarkView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pre_exam/css_camark_entry.py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CssInternalMarkView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css-ca-markview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CssInternalMarkView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main review screen for CA marks — same shape as</w:t>
      </w:r>
      <w:r>
        <w:t xml:space="preserve"> </w:t>
      </w:r>
      <w:r>
        <w:rPr>
          <w:rStyle w:val="VerbatimChar"/>
        </w:rPr>
        <w:t xml:space="preserve">online_course_mark_entry.py</w:t>
      </w:r>
      <w:r>
        <w:t xml:space="preserve">‘</w:t>
      </w:r>
      <w:r>
        <w:t xml:space="preserve">s</w:t>
      </w:r>
      <w:r>
        <w:t xml:space="preserve"> </w:t>
      </w:r>
      <w:r>
        <w:rPr>
          <w:rStyle w:val="VerbatimChar"/>
        </w:rPr>
        <w:t xml:space="preserve">OnlineMarkView</w:t>
      </w:r>
      <w:r>
        <w:t xml:space="preserve">: shows students</w:t>
      </w:r>
      <w:r>
        <w:t xml:space="preserve">’</w:t>
      </w:r>
      <w:r>
        <w:t xml:space="preserve"> </w:t>
      </w:r>
      <w:r>
        <w:t xml:space="preserve">marks alongside flags for whether every course has marks submitted,</w:t>
      </w:r>
      <w:r>
        <w:t xml:space="preserve"> </w:t>
      </w:r>
      <w:r>
        <w:t xml:space="preserve">whether printing is currently allowed, and the current approval</w:t>
      </w:r>
      <w:r>
        <w:t xml:space="preserve"> </w:t>
      </w:r>
      <w:r>
        <w:t xml:space="preserve">status.</w:t>
      </w:r>
    </w:p>
    <w:bookmarkEnd w:id="20"/>
    <w:bookmarkStart w:id="21" w:name="request-query-string"/>
    <w:p>
      <w:pPr>
        <w:pStyle w:val="Heading2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Resolve the programme-semester and the teacher’s college/batch</w:t>
      </w:r>
      <w:r>
        <w:t xml:space="preserve"> </w:t>
      </w:r>
      <w:r>
        <w:t xml:space="preserve">chain.</w:t>
      </w:r>
    </w:p>
    <w:p>
      <w:pPr>
        <w:numPr>
          <w:ilvl w:val="0"/>
          <w:numId w:val="1001"/>
        </w:numPr>
        <w:pStyle w:val="Compact"/>
      </w:pPr>
      <w:r>
        <w:t xml:space="preserve">Count distinct courses for this batch and compare against how</w:t>
      </w:r>
      <w:r>
        <w:t xml:space="preserve"> </w:t>
      </w:r>
      <w:r>
        <w:t xml:space="preserve">many have a</w:t>
      </w:r>
      <w:r>
        <w:t xml:space="preserve"> </w:t>
      </w:r>
      <w:r>
        <w:rPr>
          <w:rStyle w:val="VerbatimChar"/>
        </w:rPr>
        <w:t xml:space="preserve">CoursewiseInternalMarkPublish</w:t>
      </w:r>
      <w:r>
        <w:t xml:space="preserve"> </w:t>
      </w:r>
      <w:r>
        <w:t xml:space="preserve">record — set the</w:t>
      </w:r>
      <w:r>
        <w:t xml:space="preserve"> </w:t>
      </w:r>
      <w:r>
        <w:t xml:space="preserve">“</w:t>
      </w:r>
      <w:r>
        <w:t xml:space="preserve">everything submitted</w:t>
      </w:r>
      <w:r>
        <w:t xml:space="preserve">”</w:t>
      </w:r>
      <w:r>
        <w:t xml:space="preserve"> </w:t>
      </w:r>
      <w:r>
        <w:t xml:space="preserve">flag accordingly.</w:t>
      </w:r>
    </w:p>
    <w:p>
      <w:pPr>
        <w:numPr>
          <w:ilvl w:val="0"/>
          <w:numId w:val="1001"/>
        </w:numPr>
        <w:pStyle w:val="Compact"/>
      </w:pPr>
      <w:r>
        <w:t xml:space="preserve">Find eligible students and their course marks.</w:t>
      </w:r>
    </w:p>
    <w:p>
      <w:pPr>
        <w:numPr>
          <w:ilvl w:val="0"/>
          <w:numId w:val="1001"/>
        </w:numPr>
        <w:pStyle w:val="Compact"/>
      </w:pPr>
      <w:r>
        <w:t xml:space="preserve">Resolve the current</w:t>
      </w:r>
      <w:r>
        <w:t xml:space="preserve"> </w:t>
      </w:r>
      <w:r>
        <w:rPr>
          <w:rStyle w:val="VerbatimChar"/>
        </w:rPr>
        <w:t xml:space="preserve">CollegewiseCourseInternalMarkPublish</w:t>
      </w:r>
      <w:r>
        <w:t xml:space="preserve"> </w:t>
      </w:r>
      <w:r>
        <w:t xml:space="preserve">record</w:t>
      </w:r>
      <w:r>
        <w:t xml:space="preserve"> </w:t>
      </w:r>
      <w:r>
        <w:t xml:space="preserve">for approval-status display.</w:t>
      </w:r>
    </w:p>
    <w:p>
      <w:pPr>
        <w:numPr>
          <w:ilvl w:val="0"/>
          <w:numId w:val="1001"/>
        </w:numPr>
        <w:pStyle w:val="Compact"/>
      </w:pPr>
      <w:r>
        <w:t xml:space="preserve">Return the marks, course list, and status flags.</w:t>
      </w:r>
    </w:p>
    <w:bookmarkEnd w:id="22"/>
    <w:bookmarkStart w:id="23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Same general shape and same recurring patterns as</w:t>
      </w:r>
      <w:r>
        <w:t xml:space="preserve"> </w:t>
      </w:r>
      <w:r>
        <w:rPr>
          <w:rStyle w:val="VerbatimChar"/>
        </w:rPr>
        <w:t xml:space="preserve">online_course_mark_entry.py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OnlineMarkView</w:t>
      </w:r>
      <w:r>
        <w:t xml:space="preserve"> </w:t>
      </w:r>
      <w:r>
        <w:t xml:space="preserve">— unguarded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lookups without None-checks throughout, and this endpoint</w:t>
      </w:r>
      <w:r>
        <w:t xml:space="preserve"> </w:t>
      </w:r>
      <w:r>
        <w:t xml:space="preserve">is one of the longer, more heavily nested methods in this module (on</w:t>
      </w:r>
      <w:r>
        <w:t xml:space="preserve"> </w:t>
      </w:r>
      <w:r>
        <w:t xml:space="preserve">the order of 200 lines in one method) — worth a refactor into smaller</w:t>
      </w:r>
      <w:r>
        <w:t xml:space="preserve"> </w:t>
      </w:r>
      <w:r>
        <w:t xml:space="preserve">helper functions if it needs to be modified again, purely for</w:t>
      </w:r>
      <w:r>
        <w:t xml:space="preserve"> </w:t>
      </w:r>
      <w:r>
        <w:t xml:space="preserve">readability.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2026-08-28T10:21:03Z</dcterms:created>
  <dcterms:modified xsi:type="dcterms:W3CDTF">2026-08-28T10:21:03Z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