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ternal_mark.py-overview"/>
    <w:p>
      <w:pPr>
        <w:pStyle w:val="Heading1"/>
      </w:pPr>
      <w:r>
        <w:t xml:space="preserve">internal_mark.py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(1,503 lines, 17 classes)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p>
      <w:pPr>
        <w:pStyle w:val="BodyText"/>
      </w:pPr>
      <w:r>
        <w:t xml:space="preserve">Split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class, per the agreed convention for very</w:t>
      </w:r>
      <w:r>
        <w:t xml:space="preserve"> </w:t>
      </w:r>
      <w:r>
        <w:t xml:space="preserve">large files.</w:t>
      </w:r>
    </w:p>
    <w:bookmarkStart w:id="20" w:name="what-this-source-file-is-for"/>
    <w:p>
      <w:pPr>
        <w:pStyle w:val="Heading2"/>
      </w:pPr>
      <w:r>
        <w:t xml:space="preserve">What this source file is for</w:t>
      </w:r>
    </w:p>
    <w:p>
      <w:pPr>
        <w:pStyle w:val="FirstParagraph"/>
      </w:pPr>
      <w:r>
        <w:t xml:space="preserve">The original, general-purpose internal/CA mark-entry flow — the same</w:t>
      </w:r>
      <w:r>
        <w:t xml:space="preserve"> </w:t>
      </w:r>
      <w:r>
        <w:t xml:space="preserve">overall shape as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opencourse.py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online_course_mark_entry.py</w:t>
      </w:r>
      <w:r>
        <w:t xml:space="preserve">, but for regular (non-CSS-scheme,</w:t>
      </w:r>
      <w:r>
        <w:t xml:space="preserve"> </w:t>
      </w:r>
      <w:r>
        <w:t xml:space="preserve">non-open, non-online) courses. Based on comparing the two files</w:t>
      </w:r>
      <w:r>
        <w:t xml:space="preserve"> </w:t>
      </w:r>
      <w:r>
        <w:t xml:space="preserve">directly,</w:t>
      </w:r>
      <w:r>
        <w:t xml:space="preserve"> </w:t>
      </w:r>
      <w:r>
        <w:rPr>
          <w:rStyle w:val="VerbatimChar"/>
          <w:bCs/>
          <w:b/>
        </w:rPr>
        <w:t xml:space="preserve">internal_mark.py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css_camark_entry.py</w:t>
      </w:r>
      <w:r>
        <w:rPr>
          <w:bCs/>
          <w:b/>
        </w:rPr>
        <w:t xml:space="preserve"> </w:t>
      </w:r>
      <w:r>
        <w:rPr>
          <w:bCs/>
          <w:b/>
        </w:rPr>
        <w:t xml:space="preserve">are</w:t>
      </w:r>
      <w:r>
        <w:rPr>
          <w:bCs/>
          <w:b/>
        </w:rPr>
        <w:t xml:space="preserve"> </w:t>
      </w:r>
      <w:r>
        <w:rPr>
          <w:bCs/>
          <w:b/>
        </w:rPr>
        <w:t xml:space="preserve">near-identical implementations of the same workflow</w:t>
      </w:r>
      <w:r>
        <w:t xml:space="preserve"> </w:t>
      </w:r>
      <w:r>
        <w:t xml:space="preserve">— same class</w:t>
      </w:r>
      <w:r>
        <w:t xml:space="preserve"> </w:t>
      </w:r>
      <w:r>
        <w:t xml:space="preserve">names (minus a</w:t>
      </w:r>
      <w:r>
        <w:t xml:space="preserve"> </w:t>
      </w:r>
      <w:r>
        <w:t xml:space="preserve">“</w:t>
      </w:r>
      <w:r>
        <w:t xml:space="preserve">Ca</w:t>
      </w:r>
      <w:r>
        <w:t xml:space="preserve">”</w:t>
      </w:r>
      <w:r>
        <w:t xml:space="preserve">/</w:t>
      </w:r>
      <w:r>
        <w:t xml:space="preserve">“</w:t>
      </w:r>
      <w:r>
        <w:t xml:space="preserve">Css</w:t>
      </w:r>
      <w:r>
        <w:t xml:space="preserve">”</w:t>
      </w:r>
      <w:r>
        <w:t xml:space="preserve"> </w:t>
      </w:r>
      <w:r>
        <w:t xml:space="preserve">prefix), same structure, same sequence of</w:t>
      </w:r>
      <w:r>
        <w:t xml:space="preserve"> </w:t>
      </w:r>
      <w:r>
        <w:t xml:space="preserve">steps in almost every method.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 </w:t>
      </w:r>
      <w:r>
        <w:t xml:space="preserve">appears to be a</w:t>
      </w:r>
      <w:r>
        <w:t xml:space="preserve"> </w:t>
      </w:r>
      <w:r>
        <w:t xml:space="preserve">copy of this file adapted for the CSS scheme specifically, carrying</w:t>
      </w:r>
      <w:r>
        <w:t xml:space="preserve"> </w:t>
      </w:r>
      <w:r>
        <w:t xml:space="preserve">forward the same patterns (and the same issues) along with it.</w:t>
      </w:r>
    </w:p>
    <w:bookmarkEnd w:id="20"/>
    <w:bookmarkStart w:id="21" w:name="classes-in-this-file"/>
    <w:p>
      <w:pPr>
        <w:pStyle w:val="Heading2"/>
      </w:pPr>
      <w:r>
        <w:t xml:space="preserve">Classes in this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CSS-file counterpart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TeacherProgramList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CaTeacherProgramList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TeacherviewProgramList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CaTeacherviewProgramList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TeacherprogramSemesterList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CaTeacherprogramSemesterList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list (entry)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TeacherviewprogramSemesterList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CaTeacherviewprogramSemesterList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list (view)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TeacherCourseList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CaTeacherCourseList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CaStudentsViews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list, for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CAMarkEntry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CssCAMarkEntry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mark-save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CssInternalMarkView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screen with approval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InternalMarkPublish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CssInternalMarkPublish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Lecturer/HoD/Principal approval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CssInternalMarkPrint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Printable mark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PrgmwiseSchemeSyllabusList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CaPrgmwiseSchemeSyllabusList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list (entry)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PrgmwiseSchemeSyllabusListView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CaPrgmwiseSchemeSyllabusListView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list (view)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StudentProgramList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CaStudentProgramList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(student self-view)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StudentviewprogramSemesterList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CaStudentviewprogramSemesterList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list (student self-view)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StudentCAMarkView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CaStudentCAMarkView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viewing their own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InternalMarkEditView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CaInternalMarkEditView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shell for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CaInternalMarkEdit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mark-correction action</w:t>
            </w:r>
          </w:p>
        </w:tc>
      </w:tr>
    </w:tbl>
    <w:bookmarkEnd w:id="21"/>
    <w:bookmarkStart w:id="22" w:name="Xd118aba69f0a64056dab0c3779c4ee6da7be5f1"/>
    <w:p>
      <w:pPr>
        <w:pStyle w:val="Heading2"/>
      </w:pPr>
      <w:r>
        <w:t xml:space="preserve">What’s worth knowing before reading the individual class docs</w:t>
      </w:r>
    </w:p>
    <w:p>
      <w:pPr>
        <w:pStyle w:val="FirstParagraph"/>
      </w:pPr>
      <w:r>
        <w:t xml:space="preserve">Because this file and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 </w:t>
      </w:r>
      <w:r>
        <w:t xml:space="preserve">are near-duplicates, most</w:t>
      </w:r>
      <w:r>
        <w:t xml:space="preserve"> </w:t>
      </w:r>
      <w:r>
        <w:t xml:space="preserve">of the same findings apply to both: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same duplicate-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-method pattern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TeacherProgramList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StudentProgramList</w:t>
      </w:r>
      <w:r>
        <w:t xml:space="preserve"> </w:t>
      </w:r>
      <w:r>
        <w:t xml:space="preserve">(an empty stub</w:t>
      </w:r>
      <w:r>
        <w:t xml:space="preserve"> </w:t>
      </w:r>
      <w:r>
        <w:t xml:space="preserve">definition silently discarded in favor of a second, real one).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same redundant double-check in the approval flow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InternalMarkPublish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if LECTURE in desg and (InternalMarkPublishobjchk   is None): if InternalMarkPublishobjchk is None: ...</w:t>
      </w:r>
      <w:r>
        <w:t xml:space="preserve"> </w:t>
      </w:r>
      <w:r>
        <w:t xml:space="preserve">makes the</w:t>
      </w:r>
      <w:r>
        <w:t xml:space="preserve"> </w:t>
      </w:r>
      <w:r>
        <w:t xml:space="preserve">attached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(reporting</w:t>
      </w:r>
      <w:r>
        <w:t xml:space="preserve"> </w:t>
      </w:r>
      <w:r>
        <w:t xml:space="preserve">“</w:t>
      </w:r>
      <w:r>
        <w:t xml:space="preserve">already published</w:t>
      </w:r>
      <w:r>
        <w:t xml:space="preserve">”</w:t>
      </w:r>
      <w:r>
        <w:t xml:space="preserve">) permanently</w:t>
      </w:r>
      <w:r>
        <w:t xml:space="preserve"> </w:t>
      </w:r>
      <w:r>
        <w:t xml:space="preserve">unreachable through that path.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same encryption-key-reopened-in-a-loop and</w:t>
      </w:r>
      <w:r>
        <w:rPr>
          <w:bCs/>
          <w:b/>
        </w:rPr>
        <w:t xml:space="preserve"> </w:t>
      </w:r>
      <w:r>
        <w:rPr>
          <w:bCs/>
          <w:b/>
        </w:rPr>
        <w:t xml:space="preserve">decrypt-then-discard patterns</w:t>
      </w:r>
      <w:r>
        <w:t xml:space="preserve"> </w:t>
      </w:r>
      <w:r>
        <w:t xml:space="preserve">appear in</w:t>
      </w:r>
      <w:r>
        <w:t xml:space="preserve"> </w:t>
      </w:r>
      <w:r>
        <w:rPr>
          <w:rStyle w:val="VerbatimChar"/>
        </w:rPr>
        <w:t xml:space="preserve">CAMarkEntry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InternalMarkEdit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logger.error(request.data)</w:t>
      </w:r>
      <w:r>
        <w:rPr>
          <w:bCs/>
          <w:b/>
        </w:rPr>
        <w:t xml:space="preserve"> </w:t>
      </w:r>
      <w:r>
        <w:rPr>
          <w:bCs/>
          <w:b/>
        </w:rPr>
        <w:t xml:space="preserve">log-level misuse</w:t>
      </w:r>
      <w:r>
        <w:t xml:space="preserve"> </w:t>
      </w:r>
      <w:r>
        <w:t xml:space="preserve">appears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TeacherCourseList</w:t>
      </w:r>
      <w:r>
        <w:t xml:space="preserve">.</w:t>
      </w:r>
    </w:p>
    <w:p>
      <w:pPr>
        <w:pStyle w:val="FirstParagraph"/>
      </w:pPr>
      <w:r>
        <w:t xml:space="preserve">Individual class docs below note where this file’s version differs</w:t>
      </w:r>
      <w:r>
        <w:t xml:space="preserve"> </w:t>
      </w:r>
      <w:r>
        <w:t xml:space="preserve">in any meaningful way from its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 </w:t>
      </w:r>
      <w:r>
        <w:t xml:space="preserve">counterpart —</w:t>
      </w:r>
      <w:r>
        <w:t xml:space="preserve"> </w:t>
      </w:r>
      <w:r>
        <w:t xml:space="preserve">most differences found were minor (slightly less accumulated debug</w:t>
      </w:r>
      <w:r>
        <w:t xml:space="preserve"> </w:t>
      </w:r>
      <w:r>
        <w:t xml:space="preserve">cruft in a few places), not new bugs.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2026-08-28T10:27:08Z</dcterms:created>
  <dcterms:modified xsi:type="dcterms:W3CDTF">2026-08-28T10:27:08Z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