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gmwiseschemesyllabuslist"/>
    <w:p>
      <w:pPr>
        <w:pStyle w:val="Heading1"/>
      </w:pPr>
      <w:r>
        <w:t xml:space="preserve">PrgmwiseSchemeSyllabusList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PrgmwiseSchemeSyllabusList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acadamicyear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PrgmwiseSchemeSyllabusList</w:t>
            </w:r>
          </w:p>
        </w:tc>
      </w:tr>
    </w:tbl>
    <w:p>
      <w:pPr>
        <w:pStyle w:val="BodyTex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programme_id</w:t>
      </w:r>
      <w:r>
        <w:t xml:space="preserve">, finds the programme’s schemes, then the</w:t>
      </w:r>
      <w:r>
        <w:t xml:space="preserve"> </w:t>
      </w:r>
      <w:r>
        <w:t xml:space="preserve">distinct admission years those schemes’ syllabuses cover — equivalent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CaPrgmwiseSchemeSyllabusList</w:t>
      </w:r>
      <w:r>
        <w:t xml:space="preserve">. No issues</w:t>
      </w:r>
      <w:r>
        <w:t xml:space="preserve"> </w:t>
      </w:r>
      <w:r>
        <w:t xml:space="preserve">found.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2026-08-28T10:27:09Z</dcterms:created>
  <dcterms:modified xsi:type="dcterms:W3CDTF">2026-08-28T10:27:09Z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