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udentprogramlist"/>
    <w:p>
      <w:pPr>
        <w:pStyle w:val="Heading1"/>
      </w:pPr>
      <w:r>
        <w:t xml:space="preserve">StudentProgramList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StudentProgramList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internal-mark-student-view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a</w:t>
      </w:r>
      <w:r>
        <w:t xml:space="preserve"> </w:t>
      </w:r>
      <w:r>
        <w:rPr>
          <w:bCs/>
          <w:b/>
        </w:rPr>
        <w:t xml:space="preserve">student</w:t>
      </w:r>
      <w:r>
        <w:t xml:space="preserve"> </w:t>
      </w:r>
      <w:r>
        <w:t xml:space="preserve">viewing their own internal marks</w:t>
      </w:r>
      <w:r>
        <w:t xml:space="preserve"> </w:t>
      </w:r>
      <w:r>
        <w:t xml:space="preserve">— resolves their own programme/semester enrollment.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CaStudentProgramList</w:t>
      </w:r>
      <w:r>
        <w:t xml:space="preserve">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defines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</w:t>
      </w:r>
      <w:r>
        <w:t xml:space="preserve">, the same silently-discarded</w:t>
      </w:r>
      <w:r>
        <w:t xml:space="preserve"> </w:t>
      </w:r>
      <w:r>
        <w:t xml:space="preserve">duplicate-method pattern noted in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