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achercourselist"/>
    <w:p>
      <w:pPr>
        <w:pStyle w:val="Heading1"/>
      </w:pPr>
      <w:r>
        <w:t xml:space="preserve">TeacherCourseList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TeacherCourseList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TeacherCourseList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programme/semester/admission year, returns the courses</w:t>
      </w:r>
      <w:r>
        <w:t xml:space="preserve"> </w:t>
      </w:r>
      <w:r>
        <w:t xml:space="preserve">available for internal mark entry, plus the internal ids the frontend</w:t>
      </w:r>
      <w:r>
        <w:t xml:space="preserve"> </w:t>
      </w:r>
      <w:r>
        <w:t xml:space="preserve">needs for the next step.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CaTeacherCourseList</w:t>
      </w:r>
      <w:r>
        <w:t xml:space="preserve">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acadamicyear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programme-semester and its courses.</w:t>
      </w:r>
    </w:p>
    <w:p>
      <w:pPr>
        <w:numPr>
          <w:ilvl w:val="0"/>
          <w:numId w:val="1001"/>
        </w:numPr>
        <w:pStyle w:val="Compact"/>
      </w:pPr>
      <w:r>
        <w:t xml:space="preserve">Resolve the teacher’s college/department/batch-programme chain.</w:t>
      </w:r>
    </w:p>
    <w:p>
      <w:pPr>
        <w:numPr>
          <w:ilvl w:val="0"/>
          <w:numId w:val="1001"/>
        </w:numPr>
        <w:pStyle w:val="Compact"/>
      </w:pPr>
      <w:r>
        <w:t xml:space="preserve">Return the course list plus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prgmsem_id</w:t>
      </w:r>
      <w:r>
        <w:t xml:space="preserve">.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logger.error(request.data)</w:t>
      </w:r>
      <w:r>
        <w:rPr>
          <w:bCs/>
          <w:b/>
        </w:rPr>
        <w:t xml:space="preserve"> </w:t>
      </w:r>
      <w:r>
        <w:rPr>
          <w:bCs/>
          <w:b/>
        </w:rPr>
        <w:t xml:space="preserve">is called at the very start of the</w:t>
      </w:r>
      <w:r>
        <w:rPr>
          <w:bCs/>
          <w:b/>
        </w:rPr>
        <w:t xml:space="preserve"> </w:t>
      </w:r>
      <w:r>
        <w:rPr>
          <w:bCs/>
          <w:b/>
        </w:rPr>
        <w:t xml:space="preserve">method</w:t>
      </w:r>
      <w:r>
        <w:t xml:space="preserve"> </w:t>
      </w:r>
      <w:r>
        <w:t xml:space="preserve">(and again in the exception handler) — logging the normal</w:t>
      </w:r>
      <w:r>
        <w:t xml:space="preserve"> </w:t>
      </w:r>
      <w:r>
        <w:t xml:space="preserve">request payload at error severity, the same log-level misuse pattern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CaTeacherCourseList</w:t>
      </w:r>
      <w:r>
        <w:t xml:space="preserve">.</w:t>
      </w:r>
    </w:p>
    <w:p>
      <w:pPr>
        <w:pStyle w:val="BodyText"/>
      </w:pPr>
      <w:r>
        <w:t xml:space="preserve">Unlike the CSS-file counterpart,</w:t>
      </w:r>
      <w:r>
        <w:t xml:space="preserve"> </w:t>
      </w:r>
      <w:r>
        <w:rPr>
          <w:bCs/>
          <w:b/>
        </w:rPr>
        <w:t xml:space="preserve">this version doesn’t repeat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ProgrammeSemesterobj</w:t>
      </w:r>
      <w:r>
        <w:rPr>
          <w:bCs/>
          <w:b/>
        </w:rPr>
        <w:t xml:space="preserve"> </w:t>
      </w:r>
      <w:r>
        <w:rPr>
          <w:bCs/>
          <w:b/>
        </w:rPr>
        <w:t xml:space="preserve">query a second time</w:t>
      </w:r>
      <w:r>
        <w:t xml:space="preserve"> </w:t>
      </w:r>
      <w:r>
        <w:t xml:space="preserve">or include the unused</w:t>
      </w:r>
      <w:r>
        <w:t xml:space="preserve"> </w:t>
      </w:r>
      <w:r>
        <w:t xml:space="preserve">student lookup — this earlier version is slightly cleaner in that</w:t>
      </w:r>
      <w:r>
        <w:t xml:space="preserve"> </w:t>
      </w:r>
      <w:r>
        <w:t xml:space="preserve">one respect, though it’s otherwise the same logic.</w:t>
      </w:r>
    </w:p>
    <w:p>
      <w:pPr>
        <w:pStyle w:val="BodyText"/>
      </w:pPr>
      <w:r>
        <w:t xml:space="preserve">The same</w:t>
      </w:r>
      <w:r>
        <w:t xml:space="preserve"> </w:t>
      </w:r>
      <w:r>
        <w:t xml:space="preserve">“</w:t>
      </w:r>
      <w:r>
        <w:t xml:space="preserve">don’t know the purpose of this line</w:t>
      </w:r>
      <w:r>
        <w:t xml:space="preserve">”</w:t>
      </w:r>
      <w:r>
        <w:t xml:space="preserve"> </w:t>
      </w:r>
      <w:r>
        <w:t xml:space="preserve">commented-out</w:t>
      </w:r>
      <w:r>
        <w:t xml:space="preserve"> </w:t>
      </w:r>
      <w:r>
        <w:t xml:space="preserve">condition appears here too.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