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online_course_mark_entry.py-overview"/>
    <w:p>
      <w:pPr>
        <w:pStyle w:val="Heading1"/>
      </w:pPr>
      <w:r>
        <w:t xml:space="preserve">online_course_mark_entry.py — Overview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pre_exam/online_course_mark_entry.py</w:t>
      </w:r>
      <w:r>
        <w:t xml:space="preserve"> </w:t>
      </w:r>
      <w:r>
        <w:t xml:space="preserve">(1,429 lines, 12</w:t>
      </w:r>
      <w:r>
        <w:t xml:space="preserve"> </w:t>
      </w:r>
      <w:r>
        <w:t xml:space="preserve">classes) URL mapping:</w:t>
      </w:r>
      <w:r>
        <w:t xml:space="preserve"> </w:t>
      </w:r>
      <w:r>
        <w:rPr>
          <w:rStyle w:val="VerbatimChar"/>
        </w:rPr>
        <w:t xml:space="preserve">pre_exam/urls.py</w:t>
      </w:r>
    </w:p>
    <w:p>
      <w:pPr>
        <w:pStyle w:val="BodyText"/>
      </w:pPr>
      <w:r>
        <w:t xml:space="preserve">Split into one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per class, per the agreed convention for very</w:t>
      </w:r>
      <w:r>
        <w:t xml:space="preserve"> </w:t>
      </w:r>
      <w:r>
        <w:t xml:space="preserve">large files.</w:t>
      </w:r>
    </w:p>
    <w:bookmarkStart w:id="20" w:name="what-this-source-file-is-for"/>
    <w:p>
      <w:pPr>
        <w:pStyle w:val="Heading2"/>
      </w:pPr>
      <w:r>
        <w:t xml:space="preserve">What this source file is for</w:t>
      </w:r>
    </w:p>
    <w:p>
      <w:pPr>
        <w:pStyle w:val="FirstParagraph"/>
      </w:pPr>
      <w:r>
        <w:t xml:space="preserve">Manages marks for MOOC/</w:t>
      </w:r>
      <w:r>
        <w:t xml:space="preserve">“</w:t>
      </w:r>
      <w:r>
        <w:t xml:space="preserve">online course</w:t>
      </w:r>
      <w:r>
        <w:t xml:space="preserve">”</w:t>
      </w:r>
      <w:r>
        <w:t xml:space="preserve"> </w:t>
      </w:r>
      <w:r>
        <w:t xml:space="preserve">enrollments — courses a</w:t>
      </w:r>
      <w:r>
        <w:t xml:space="preserve"> </w:t>
      </w:r>
      <w:r>
        <w:t xml:space="preserve">student takes through an external online platform rather than</w:t>
      </w:r>
      <w:r>
        <w:t xml:space="preserve"> </w:t>
      </w:r>
      <w:r>
        <w:t xml:space="preserve">in-person. The overall shape closely mirrors</w:t>
      </w:r>
      <w:r>
        <w:t xml:space="preserve"> </w:t>
      </w:r>
      <w:r>
        <w:rPr>
          <w:rStyle w:val="VerbatimChar"/>
        </w:rPr>
        <w:t xml:space="preserve">opencourse.py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project_lab_mark.py</w:t>
      </w:r>
      <w:r>
        <w:t xml:space="preserve">: pick a programme/semester/course → see the</w:t>
      </w:r>
      <w:r>
        <w:t xml:space="preserve"> </w:t>
      </w:r>
      <w:r>
        <w:t xml:space="preserve">student list → enter marks → the mark flows through a</w:t>
      </w:r>
      <w:r>
        <w:t xml:space="preserve"> </w:t>
      </w:r>
      <w:r>
        <w:t xml:space="preserve">Lecturer → HoD → Principal approval chain → a read-only view/print</w:t>
      </w:r>
      <w:r>
        <w:t xml:space="preserve"> </w:t>
      </w:r>
      <w:r>
        <w:t xml:space="preserve">flow.</w:t>
      </w:r>
    </w:p>
    <w:bookmarkEnd w:id="20"/>
    <w:bookmarkStart w:id="21" w:name="classes-in-this-file"/>
    <w:p>
      <w:pPr>
        <w:pStyle w:val="Heading2"/>
      </w:pPr>
      <w:r>
        <w:t xml:space="preserve">Classes in this file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OnlineTeacherProgramList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dropdown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OnlineTeacherCourseList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 list for a programme/semester/year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OnlineStudentsViews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list, for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OnlineMarkEntry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mark-save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OnlineTeacherviewProgramList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dropdown (view flow)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OnlineTeacherviewprogramSemesterList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Semester list (view flow)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OnlinePrgmwiseSchemeSyllabusListView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Admission year list (view flow)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OnlineMarkView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Read/review screen with approval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OnlineMarkEditView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shell for editing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OnlineMarkEdit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mark-correction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OnlineMarkPublish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Lecturer/HoD/Principal approval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OnlineMarkPrint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Printable mark sheet</w:t>
            </w:r>
          </w:p>
        </w:tc>
      </w:tr>
    </w:tbl>
    <w:bookmarkEnd w:id="21"/>
    <w:bookmarkStart w:id="22" w:name="Xd118aba69f0a64056dab0c3779c4ee6da7be5f1"/>
    <w:p>
      <w:pPr>
        <w:pStyle w:val="Heading2"/>
      </w:pPr>
      <w:r>
        <w:t xml:space="preserve">What’s worth knowing before reading the individual class docs</w:t>
      </w:r>
    </w:p>
    <w:p>
      <w:pPr>
        <w:pStyle w:val="FirstParagraph"/>
      </w:pPr>
      <w:r>
        <w:rPr>
          <w:bCs/>
          <w:b/>
        </w:rPr>
        <w:t xml:space="preserve">This file shows more evidence of recent, deliberate maintenance</w:t>
      </w:r>
      <w:r>
        <w:rPr>
          <w:bCs/>
          <w:b/>
        </w:rPr>
        <w:t xml:space="preserve"> </w:t>
      </w:r>
      <w:r>
        <w:rPr>
          <w:bCs/>
          <w:b/>
        </w:rPr>
        <w:t xml:space="preserve">than most other files across these modules</w:t>
      </w:r>
      <w:r>
        <w:t xml:space="preserve"> </w:t>
      </w:r>
      <w:r>
        <w:t xml:space="preserve">— several methods carry</w:t>
      </w:r>
      <w:r>
        <w:t xml:space="preserve"> </w:t>
      </w:r>
      <w:r>
        <w:rPr>
          <w:rStyle w:val="VerbatimChar"/>
        </w:rPr>
        <w:t xml:space="preserve"># ✅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 DEBUG:</w:t>
      </w:r>
      <w:r>
        <w:t xml:space="preserve"> </w:t>
      </w:r>
      <w:r>
        <w:t xml:space="preserve">comments marking specific, explained fixes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OnlineTeacherCourseList</w:t>
      </w:r>
      <w:r>
        <w:t xml:space="preserve">’s explicit</w:t>
      </w:r>
      <w:r>
        <w:t xml:space="preserve"> </w:t>
      </w:r>
      <w:r>
        <w:t xml:space="preserve">“</w:t>
      </w:r>
      <w:r>
        <w:t xml:space="preserve">programme not found for</w:t>
      </w:r>
      <w:r>
        <w:t xml:space="preserve"> </w:t>
      </w:r>
      <w:r>
        <w:t xml:space="preserve">the selected year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programme semester not found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online course</w:t>
      </w:r>
      <w:r>
        <w:t xml:space="preserve"> </w:t>
      </w:r>
      <w:r>
        <w:t xml:space="preserve">type not found</w:t>
      </w:r>
      <w:r>
        <w:t xml:space="preserve">”</w:t>
      </w:r>
      <w:r>
        <w:t xml:space="preserve"> </w:t>
      </w:r>
      <w:r>
        <w:t xml:space="preserve">checks, each with its own message), and</w:t>
      </w:r>
      <w:r>
        <w:t xml:space="preserve"> </w:t>
      </w:r>
      <w:r>
        <w:rPr>
          <w:rStyle w:val="VerbatimChar"/>
        </w:rPr>
        <w:t xml:space="preserve">OnlineMarkView</w:t>
      </w:r>
      <w:r>
        <w:t xml:space="preserve">/</w:t>
      </w:r>
      <w:r>
        <w:rPr>
          <w:rStyle w:val="VerbatimChar"/>
        </w:rPr>
        <w:t xml:space="preserve">OnlineMarkPublish</w:t>
      </w:r>
      <w:r>
        <w:t xml:space="preserve"> </w:t>
      </w:r>
      <w:r>
        <w:t xml:space="preserve">were both recently extended to</w:t>
      </w:r>
      <w:r>
        <w:t xml:space="preserve"> </w:t>
      </w:r>
      <w:r>
        <w:t xml:space="preserve">scope duty/publish records by a specific</w:t>
      </w:r>
      <w:r>
        <w:t xml:space="preserve"> </w:t>
      </w:r>
      <w:r>
        <w:rPr>
          <w:rStyle w:val="VerbatimChar"/>
        </w:rPr>
        <w:t xml:space="preserve">course_online_id</w:t>
      </w:r>
      <w:r>
        <w:t xml:space="preserve"> </w:t>
      </w:r>
      <w:r>
        <w:t xml:space="preserve">rather</w:t>
      </w:r>
      <w:r>
        <w:t xml:space="preserve"> </w:t>
      </w:r>
      <w:r>
        <w:t xml:space="preserve">than just the college-batch-programme-semester, based on the</w:t>
      </w:r>
      <w:r>
        <w:t xml:space="preserve"> </w:t>
      </w:r>
      <w:r>
        <w:rPr>
          <w:rStyle w:val="VerbatimChar"/>
        </w:rPr>
        <w:t xml:space="preserve"># ✅</w:t>
      </w:r>
      <w:r>
        <w:t xml:space="preserve"> </w:t>
      </w:r>
      <w:r>
        <w:t xml:space="preserve">comments marking each change.</w:t>
      </w:r>
    </w:p>
    <w:p>
      <w:pPr>
        <w:pStyle w:val="BodyText"/>
      </w:pPr>
      <w:r>
        <w:rPr>
          <w:bCs/>
          <w:b/>
        </w:rPr>
        <w:t xml:space="preserve">That said, a couple of near-duplicate/redundant query patterns are</w:t>
      </w:r>
      <w:r>
        <w:rPr>
          <w:bCs/>
          <w:b/>
        </w:rPr>
        <w:t xml:space="preserve"> </w:t>
      </w:r>
      <w:r>
        <w:rPr>
          <w:bCs/>
          <w:b/>
        </w:rPr>
        <w:t xml:space="preserve">worth flagging: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OnlineMarkView</w:t>
      </w:r>
      <w:r>
        <w:t xml:space="preserve"> </w:t>
      </w:r>
      <w:r>
        <w:t xml:space="preserve">computes</w:t>
      </w:r>
      <w:r>
        <w:t xml:space="preserve"> </w:t>
      </w:r>
      <w:r>
        <w:rPr>
          <w:bCs/>
          <w:b/>
        </w:rPr>
        <w:t xml:space="preserve">two separate queries with identical</w:t>
      </w:r>
      <w:r>
        <w:rPr>
          <w:bCs/>
          <w:b/>
        </w:rPr>
        <w:t xml:space="preserve"> </w:t>
      </w:r>
      <w:r>
        <w:rPr>
          <w:bCs/>
          <w:b/>
        </w:rPr>
        <w:t xml:space="preserve">filter conditions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CollegewiseCourseOnlineMarkPublishobj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CollegewiseCourseOnlineMarkPublishobjchk</w:t>
      </w:r>
      <w:r>
        <w:t xml:space="preserve">) back to back, purely to</w:t>
      </w:r>
      <w:r>
        <w:t xml:space="preserve"> </w:t>
      </w:r>
      <w:r>
        <w:t xml:space="preserve">feed two different output flags (</w:t>
      </w:r>
      <w:r>
        <w:rPr>
          <w:rStyle w:val="VerbatimChar"/>
        </w:rPr>
        <w:t xml:space="preserve">printflag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statusflag</w:t>
      </w:r>
      <w:r>
        <w:t xml:space="preserve">/</w:t>
      </w:r>
      <w:r>
        <w:rPr>
          <w:rStyle w:val="VerbatimChar"/>
        </w:rPr>
        <w:t xml:space="preserve">status_name</w:t>
      </w:r>
      <w:r>
        <w:t xml:space="preserve">) — the second query could simply reuse</w:t>
      </w:r>
      <w:r>
        <w:t xml:space="preserve"> </w:t>
      </w:r>
      <w:r>
        <w:t xml:space="preserve">the first query’s result.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OnlineMarkPublish</w:t>
      </w:r>
      <w:r>
        <w:t xml:space="preserve"> </w:t>
      </w:r>
      <w:r>
        <w:t xml:space="preserve">checks the same condition twice in a row</w:t>
      </w:r>
      <w:r>
        <w:t xml:space="preserve"> </w:t>
      </w:r>
      <w:r>
        <w:t xml:space="preserve">(</w:t>
      </w:r>
      <w:r>
        <w:rPr>
          <w:rStyle w:val="VerbatimChar"/>
        </w:rPr>
        <w:t xml:space="preserve">if LECTURE in desg and (OnlineMarkPublishobjchk is None): if   OnlineMarkPublishobjchk is None:</w:t>
      </w:r>
      <w:r>
        <w:t xml:space="preserve">) — the inner check is always true</w:t>
      </w:r>
      <w:r>
        <w:t xml:space="preserve"> </w:t>
      </w:r>
      <w:r>
        <w:t xml:space="preserve">once the outer one has passed, making the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 attached to</w:t>
      </w:r>
      <w:r>
        <w:t xml:space="preserve"> </w:t>
      </w:r>
      <w:r>
        <w:t xml:space="preserve">it (which would report</w:t>
      </w:r>
      <w:r>
        <w:t xml:space="preserve"> </w:t>
      </w:r>
      <w:r>
        <w:t xml:space="preserve">“</w:t>
      </w:r>
      <w:r>
        <w:t xml:space="preserve">already published</w:t>
      </w:r>
      <w:r>
        <w:t xml:space="preserve">”</w:t>
      </w:r>
      <w:r>
        <w:t xml:space="preserve">) permanently</w:t>
      </w:r>
      <w:r>
        <w:t xml:space="preserve"> </w:t>
      </w:r>
      <w:r>
        <w:t xml:space="preserve">unreachable through this code path.</w:t>
      </w:r>
    </w:p>
    <w:p>
      <w:pPr>
        <w:pStyle w:val="FirstParagraph"/>
      </w:pPr>
      <w:r>
        <w:t xml:space="preserve">See each class’s own document for further detail.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2026-08-28T10:16:16Z</dcterms:created>
  <dcterms:modified xsi:type="dcterms:W3CDTF">2026-08-28T10:16:16Z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