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nlinemarkeditview"/>
    <w:p>
      <w:pPr>
        <w:pStyle w:val="Heading1"/>
      </w:pPr>
      <w:r>
        <w:t xml:space="preserve">OnlineMarkEditView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OnlineMarkEditView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oc-mark-edit-view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OnlineMarkEditView</w:t>
            </w:r>
          </w:p>
        </w:tc>
      </w:tr>
    </w:tbl>
    <w:p>
      <w:pPr>
        <w:pStyle w:val="BodyText"/>
      </w:pPr>
      <w:r>
        <w:t xml:space="preserve">Page-shell endpoint for the mark-correction screen — returns an</w:t>
      </w:r>
      <w:r>
        <w:t xml:space="preserve"> </w:t>
      </w:r>
      <w:r>
        <w:t xml:space="preserve">empty success response for the template to render around. No issues</w:t>
      </w:r>
      <w:r>
        <w:t xml:space="preserve"> </w:t>
      </w:r>
      <w:r>
        <w:t xml:space="preserve">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