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onlinemarkprint"/>
    <w:p>
      <w:pPr>
        <w:pStyle w:val="Heading1"/>
      </w:pPr>
      <w:r>
        <w:t xml:space="preserve">OnlineMarkPrint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OnlineMarkPrint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oc-mark-print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OnlineMarkPrint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Builds the printable mark sheet for a programme/semester/admission-year</w:t>
      </w:r>
      <w:r>
        <w:t xml:space="preserve"> </w:t>
      </w:r>
      <w:r>
        <w:t xml:space="preserve">batch — showing the caller’s designation, the college/department</w:t>
      </w:r>
      <w:r>
        <w:t xml:space="preserve"> </w:t>
      </w:r>
      <w:r>
        <w:t xml:space="preserve">name, and whether every course’s marks have been submitted.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Determine the caller’s designation (Principal, HoD, Lecturer, or</w:t>
      </w:r>
      <w:r>
        <w:t xml:space="preserve"> </w:t>
      </w:r>
      <w:r>
        <w:t xml:space="preserve">plain Teacher) by checking their group membership in that order.</w:t>
      </w:r>
    </w:p>
    <w:p>
      <w:pPr>
        <w:numPr>
          <w:ilvl w:val="0"/>
          <w:numId w:val="1001"/>
        </w:numPr>
        <w:pStyle w:val="Compact"/>
      </w:pPr>
      <w:r>
        <w:t xml:space="preserve">Resolve the programme-semester and count its courses.</w:t>
      </w:r>
    </w:p>
    <w:p>
      <w:pPr>
        <w:numPr>
          <w:ilvl w:val="0"/>
          <w:numId w:val="1001"/>
        </w:numPr>
        <w:pStyle w:val="Compact"/>
      </w:pPr>
      <w:r>
        <w:t xml:space="preserve">Resolve the teacher’s college/department and the matching</w:t>
      </w:r>
      <w:r>
        <w:t xml:space="preserve"> </w:t>
      </w:r>
      <w:r>
        <w:t xml:space="preserve">batch-programme.</w:t>
      </w:r>
    </w:p>
    <w:p>
      <w:pPr>
        <w:numPr>
          <w:ilvl w:val="0"/>
          <w:numId w:val="1001"/>
        </w:numPr>
        <w:pStyle w:val="Compact"/>
      </w:pPr>
      <w:r>
        <w:t xml:space="preserve">Compare the course count against how many have a</w:t>
      </w:r>
      <w:r>
        <w:t xml:space="preserve"> </w:t>
      </w:r>
      <w:r>
        <w:rPr>
          <w:rStyle w:val="VerbatimChar"/>
        </w:rPr>
        <w:t xml:space="preserve">CoursewiseOnlineMarkPublish</w:t>
      </w:r>
      <w:r>
        <w:t xml:space="preserve"> </w:t>
      </w:r>
      <w:r>
        <w:t xml:space="preserve">record — set</w:t>
      </w:r>
      <w:r>
        <w:t xml:space="preserve"> </w:t>
      </w:r>
      <w:r>
        <w:rPr>
          <w:rStyle w:val="VerbatimChar"/>
        </w:rPr>
        <w:t xml:space="preserve">flag = True</w:t>
      </w:r>
      <w:r>
        <w:t xml:space="preserve"> </w:t>
      </w:r>
      <w:r>
        <w:t xml:space="preserve">if they</w:t>
      </w:r>
      <w:r>
        <w:t xml:space="preserve"> </w:t>
      </w:r>
      <w:r>
        <w:t xml:space="preserve">match (everything submitted).</w:t>
      </w:r>
    </w:p>
    <w:p>
      <w:pPr>
        <w:numPr>
          <w:ilvl w:val="0"/>
          <w:numId w:val="1001"/>
        </w:numPr>
        <w:pStyle w:val="Compact"/>
      </w:pPr>
      <w:r>
        <w:t xml:space="preserve">Resolve the current</w:t>
      </w:r>
      <w:r>
        <w:t xml:space="preserve"> </w:t>
      </w:r>
      <w:r>
        <w:rPr>
          <w:rStyle w:val="VerbatimChar"/>
        </w:rPr>
        <w:t xml:space="preserve">CollegewiseCourseOnlineMarkPublish</w:t>
      </w:r>
      <w:r>
        <w:t xml:space="preserve"> </w:t>
      </w:r>
      <w:r>
        <w:t xml:space="preserve">record</w:t>
      </w:r>
      <w:r>
        <w:t xml:space="preserve"> </w:t>
      </w:r>
      <w:r>
        <w:t xml:space="preserve">for this batch, for its approval status.</w:t>
      </w:r>
    </w:p>
    <w:p>
      <w:pPr>
        <w:numPr>
          <w:ilvl w:val="0"/>
          <w:numId w:val="1001"/>
        </w:numPr>
        <w:pStyle w:val="Compact"/>
      </w:pPr>
      <w:r>
        <w:t xml:space="preserve">Return the mark sheet data along with the designation, college</w:t>
      </w:r>
      <w:r>
        <w:t xml:space="preserve"> </w:t>
      </w:r>
      <w:r>
        <w:t xml:space="preserve">name, and flags.</w:t>
      </w:r>
    </w:p>
    <w:bookmarkEnd w:id="22"/>
    <w:bookmarkStart w:id="23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None-checks on several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 (</w:t>
      </w:r>
      <w:r>
        <w:rPr>
          <w:rStyle w:val="VerbatimChar"/>
        </w:rPr>
        <w:t xml:space="preserve">prgmname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ProgrammeSemesterobj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CollegeProgrammeobj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CollegeBatchProgrammeobj</w:t>
      </w:r>
      <w:r>
        <w:t xml:space="preserve">) before their attributes are used — the</w:t>
      </w:r>
      <w:r>
        <w:t xml:space="preserve"> </w:t>
      </w:r>
      <w:r>
        <w:t xml:space="preserve">same recurring pattern seen throughout these modules. No new</w:t>
      </w:r>
      <w:r>
        <w:t xml:space="preserve"> </w:t>
      </w:r>
      <w:r>
        <w:t xml:space="preserve">distinguishing issues beyond that.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