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lineteachercourselist"/>
    <w:p>
      <w:pPr>
        <w:pStyle w:val="Heading1"/>
      </w:pPr>
      <w:r>
        <w:t xml:space="preserve">OnlineTeacherCourseList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pre_exam/online_course_mark_entry.py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OnlineTeacherCourseList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oc-teacher-course-list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OnlineTeacherCourseList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Given a programme/semester/admission year, returns the online (MOOC)</w:t>
      </w:r>
      <w:r>
        <w:t xml:space="preserve"> </w:t>
      </w:r>
      <w:r>
        <w:t xml:space="preserve">courses available for mark entry, plus the internal ids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programmeSemesterId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colgBatchPrgm</w:t>
      </w:r>
      <w:r>
        <w:t xml:space="preserve">) the frontend needs for the</w:t>
      </w:r>
      <w:r>
        <w:t xml:space="preserve"> </w:t>
      </w:r>
      <w:r>
        <w:t xml:space="preserve">next step.</w:t>
      </w:r>
    </w:p>
    <w:bookmarkEnd w:id="20"/>
    <w:bookmarkStart w:id="21" w:name="request-query-string"/>
    <w:p>
      <w:pPr>
        <w:pStyle w:val="Heading2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acadamicyear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context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Confirm the programme is registered under a real scheme for the</w:t>
      </w:r>
      <w:r>
        <w:t xml:space="preserve"> </w:t>
      </w:r>
      <w:r>
        <w:t xml:space="preserve">selected academic year — if not, return</w:t>
      </w:r>
      <w:r>
        <w:t xml:space="preserve"> </w:t>
      </w:r>
      <w:r>
        <w:t xml:space="preserve">“</w:t>
      </w:r>
      <w:r>
        <w:t xml:space="preserve">Programme not found for</w:t>
      </w:r>
      <w:r>
        <w:t xml:space="preserve"> </w:t>
      </w:r>
      <w:r>
        <w:t xml:space="preserve">the selected Year.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Confirm the programme-semester exists — if not, return</w:t>
      </w:r>
      <w:r>
        <w:t xml:space="preserve"> </w:t>
      </w:r>
      <w:r>
        <w:t xml:space="preserve">“</w:t>
      </w:r>
      <w:r>
        <w:t xml:space="preserve">Programme</w:t>
      </w:r>
      <w:r>
        <w:t xml:space="preserve"> </w:t>
      </w:r>
      <w:r>
        <w:t xml:space="preserve">Semester not found.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Find the programme’s courses, then narrow to</w:t>
      </w:r>
      <w:r>
        <w:t xml:space="preserve"> </w:t>
      </w:r>
      <w:r>
        <w:rPr>
          <w:rStyle w:val="VerbatimChar"/>
        </w:rPr>
        <w:t xml:space="preserve">CourseOnline</w:t>
      </w:r>
      <w:r>
        <w:t xml:space="preserve"> </w:t>
      </w:r>
      <w:r>
        <w:t xml:space="preserve">records (the ones flagged as online/MOOC) matching this programme.</w:t>
      </w:r>
      <w:r>
        <w:t xml:space="preserve"> </w:t>
      </w:r>
      <w:r>
        <w:t xml:space="preserve">If none are found, return</w:t>
      </w:r>
      <w:r>
        <w:t xml:space="preserve"> </w:t>
      </w:r>
      <w:r>
        <w:t xml:space="preserve">“</w:t>
      </w:r>
      <w:r>
        <w:t xml:space="preserve">Online Course Type Not Found.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Cross-reference against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 </w:t>
      </w:r>
      <w:r>
        <w:t xml:space="preserve">to get the full,</w:t>
      </w:r>
      <w:r>
        <w:t xml:space="preserve"> </w:t>
      </w:r>
      <w:r>
        <w:t xml:space="preserve">active course list.</w:t>
      </w:r>
    </w:p>
    <w:p>
      <w:pPr>
        <w:numPr>
          <w:ilvl w:val="0"/>
          <w:numId w:val="1001"/>
        </w:numPr>
        <w:pStyle w:val="Compact"/>
      </w:pPr>
      <w:r>
        <w:t xml:space="preserve">Resolve the teacher’s college/department chain to get the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 </w:t>
      </w:r>
      <w:r>
        <w:t xml:space="preserve">for the selected academic year.</w:t>
      </w:r>
    </w:p>
    <w:p>
      <w:pPr>
        <w:numPr>
          <w:ilvl w:val="0"/>
          <w:numId w:val="1001"/>
        </w:numPr>
        <w:pStyle w:val="Compact"/>
      </w:pPr>
      <w:r>
        <w:t xml:space="preserve">Return the course list plus the two ids.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"Online courses retrieved successfully", "data": {"courses": [...], "programmeSemesterId": 3, "colgBatchPrgm": 44},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is one of the best-validated endpoints found across these</w:t>
      </w:r>
      <w:r>
        <w:rPr>
          <w:bCs/>
          <w:b/>
        </w:rPr>
        <w:t xml:space="preserve"> </w:t>
      </w:r>
      <w:r>
        <w:rPr>
          <w:bCs/>
          <w:b/>
        </w:rPr>
        <w:t xml:space="preserve">modules</w:t>
      </w:r>
      <w:r>
        <w:t xml:space="preserve"> </w:t>
      </w:r>
      <w:r>
        <w:t xml:space="preserve">— three distinct failure conditions are each checked</w:t>
      </w:r>
      <w:r>
        <w:t xml:space="preserve"> </w:t>
      </w:r>
      <w:r>
        <w:t xml:space="preserve">explicitly with a specific message, rather than falling through to a</w:t>
      </w:r>
      <w:r>
        <w:t xml:space="preserve"> </w:t>
      </w:r>
      <w:r>
        <w:t xml:space="preserve">generic error.</w:t>
      </w:r>
    </w:p>
    <w:p>
      <w:pPr>
        <w:pStyle w:val="BodyText"/>
      </w:pPr>
      <w:r>
        <w:t xml:space="preserve">A large number of</w:t>
      </w:r>
      <w:r>
        <w:t xml:space="preserve"> </w:t>
      </w:r>
      <w:r>
        <w:rPr>
          <w:rStyle w:val="VerbatimChar"/>
        </w:rPr>
        <w:t xml:space="preserve">print("DEBUG: ...")</w:t>
      </w:r>
      <w:r>
        <w:t xml:space="preserve"> </w:t>
      </w:r>
      <w:r>
        <w:t xml:space="preserve">statements are left in</w:t>
      </w:r>
      <w:r>
        <w:t xml:space="preserve"> </w:t>
      </w:r>
      <w:r>
        <w:t xml:space="preserve">throughout the method, tracing nearly every intermediate value — more</w:t>
      </w:r>
      <w:r>
        <w:t xml:space="preserve"> </w:t>
      </w:r>
      <w:r>
        <w:t xml:space="preserve">than most files, though at least clearly labeled as debug output</w:t>
      </w:r>
      <w:r>
        <w:t xml:space="preserve"> </w:t>
      </w:r>
      <w:r>
        <w:t xml:space="preserve">rather than looking accidental.</w:t>
      </w:r>
    </w:p>
    <w:p>
      <w:pPr>
        <w:pStyle w:val="BodyText"/>
      </w:pPr>
      <w:r>
        <w:t xml:space="preserve">The error path returns the raw exception text (</w:t>
      </w:r>
      <w:r>
        <w:rPr>
          <w:rStyle w:val="VerbatimChar"/>
        </w:rPr>
        <w:t xml:space="preserve">str(e)</w:t>
      </w:r>
      <w:r>
        <w:t xml:space="preserve">) as the</w:t>
      </w:r>
      <w:r>
        <w:t xml:space="preserve"> </w:t>
      </w:r>
      <w:r>
        <w:t xml:space="preserve">user-facing message, and also calls</w:t>
      </w:r>
      <w:r>
        <w:t xml:space="preserve"> </w:t>
      </w:r>
      <w:r>
        <w:rPr>
          <w:rStyle w:val="VerbatimChar"/>
        </w:rPr>
        <w:t xml:space="preserve">traceback.print_exc()</w:t>
      </w:r>
      <w:r>
        <w:t xml:space="preserve"> </w:t>
      </w:r>
      <w:r>
        <w:t xml:space="preserve">— a full</w:t>
      </w:r>
      <w:r>
        <w:t xml:space="preserve"> </w:t>
      </w:r>
      <w:r>
        <w:t xml:space="preserve">stack trace printed to server output on every unexpected error, in</w:t>
      </w:r>
      <w:r>
        <w:t xml:space="preserve"> </w:t>
      </w:r>
      <w:r>
        <w:t xml:space="preserve">addition to the message-exposure concern noted elsewhere in these</w:t>
      </w:r>
      <w:r>
        <w:t xml:space="preserve"> </w:t>
      </w:r>
      <w:r>
        <w:t xml:space="preserve">modules.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2026-08-28T10:16:17Z</dcterms:created>
  <dcterms:modified xsi:type="dcterms:W3CDTF">2026-08-28T10:16:17Z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