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pencoursehodapproval"/>
    <w:p>
      <w:pPr>
        <w:pStyle w:val="Heading1"/>
      </w:pPr>
      <w:r>
        <w:t xml:space="preserve">OpenCourseHodApproval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OpenCourseHodApproval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open-course-mark-hodapproval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OpenCourseHodApproval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entry screen for the Head of Department’s open-course mark</w:t>
      </w:r>
      <w:r>
        <w:t xml:space="preserve"> </w:t>
      </w:r>
      <w:r>
        <w:t xml:space="preserve">review — same programme-dropdown logic as</w:t>
      </w:r>
      <w:r>
        <w:t xml:space="preserve"> </w:t>
      </w:r>
      <w:r>
        <w:rPr>
          <w:rStyle w:val="VerbatimChar"/>
        </w:rPr>
        <w:t xml:space="preserve">OpenCourseTeacherProgrammeList</w:t>
      </w:r>
      <w:r>
        <w:t xml:space="preserve">, tagged for the HoD-approval</w:t>
      </w:r>
      <w:r>
        <w:t xml:space="preserve"> </w:t>
      </w:r>
      <w:r>
        <w:t xml:space="preserve">template.</w:t>
      </w:r>
    </w:p>
    <w:bookmarkEnd w:id="20"/>
    <w:bookmarkStart w:id="21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Identical logic to</w:t>
      </w:r>
      <w:r>
        <w:t xml:space="preserve"> </w:t>
      </w:r>
      <w:r>
        <w:rPr>
          <w:rStyle w:val="VerbatimChar"/>
        </w:rPr>
        <w:t xml:space="preserve">OpenCourseTeacherProgrammeList</w:t>
      </w:r>
      <w:r>
        <w:t xml:space="preserve"> </w:t>
      </w:r>
      <w:r>
        <w:t xml:space="preserve">— no distinguishing</w:t>
      </w:r>
      <w:r>
        <w:t xml:space="preserve"> </w:t>
      </w:r>
      <w:r>
        <w:t xml:space="preserve">issues.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