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exam_mobile_app.py-overview"/>
    <w:p>
      <w:pPr>
        <w:pStyle w:val="Heading1"/>
      </w:pPr>
      <w:r>
        <w:t xml:space="preserve">exam_mobile_app.py — Overview</w:t>
      </w:r>
    </w:p>
    <w:p>
      <w:pPr>
        <w:pStyle w:val="FirstParagraph"/>
      </w:pPr>
      <w:r>
        <w:t xml:space="preserve">Source file:</w:t>
      </w:r>
      <w:r>
        <w:t xml:space="preserve"> </w:t>
      </w:r>
      <w:r>
        <w:rPr>
          <w:rStyle w:val="VerbatimChar"/>
        </w:rPr>
        <w:t xml:space="preserve">qr_map/exam_mobile_app.py</w:t>
      </w:r>
      <w:r>
        <w:t xml:space="preserve"> </w:t>
      </w:r>
      <w:r>
        <w:t xml:space="preserve">(1,132 lines, 18 live view</w:t>
      </w:r>
      <w:r>
        <w:t xml:space="preserve"> </w:t>
      </w:r>
      <w:r>
        <w:t xml:space="preserve">classes) URL mapping:</w:t>
      </w:r>
      <w:r>
        <w:t xml:space="preserve"> </w:t>
      </w:r>
      <w:r>
        <w:rPr>
          <w:rStyle w:val="VerbatimChar"/>
        </w:rPr>
        <w:t xml:space="preserve">qr_map/urls.py</w:t>
      </w:r>
    </w:p>
    <w:p>
      <w:pPr>
        <w:pStyle w:val="BodyText"/>
      </w:pPr>
      <w:r>
        <w:t xml:space="preserve">Split into one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per class, per the agreed convention for very</w:t>
      </w:r>
      <w:r>
        <w:t xml:space="preserve"> </w:t>
      </w:r>
      <w:r>
        <w:t xml:space="preserve">large files.</w:t>
      </w:r>
    </w:p>
    <w:bookmarkStart w:id="20" w:name="what-this-source-file-is-for"/>
    <w:p>
      <w:pPr>
        <w:pStyle w:val="Heading2"/>
      </w:pPr>
      <w:r>
        <w:t xml:space="preserve">What this source file is for</w:t>
      </w:r>
    </w:p>
    <w:p>
      <w:pPr>
        <w:pStyle w:val="FirstParagraph"/>
      </w:pPr>
      <w:r>
        <w:t xml:space="preserve">The backend for the invigilator/examiner mobile app used at the exam</w:t>
      </w:r>
      <w:r>
        <w:t xml:space="preserve"> </w:t>
      </w:r>
      <w:r>
        <w:t xml:space="preserve">centre on exam day: logging in, MFA/OTP verification, scanning</w:t>
      </w:r>
      <w:r>
        <w:t xml:space="preserve"> </w:t>
      </w:r>
      <w:r>
        <w:t xml:space="preserve">answer sheets, mapping them to candidates, reverting a mapping, and</w:t>
      </w:r>
      <w:r>
        <w:t xml:space="preserve"> </w:t>
      </w:r>
      <w:r>
        <w:t xml:space="preserve">a forgot-password flow.</w:t>
      </w:r>
    </w:p>
    <w:bookmarkEnd w:id="20"/>
    <w:bookmarkStart w:id="21" w:name="X82b452825ec55cf6bf3dd2b15312875a2cc8be8"/>
    <w:p>
      <w:pPr>
        <w:pStyle w:val="Heading2"/>
      </w:pPr>
      <w:r>
        <w:t xml:space="preserve">What’s worth knowing before reading the individual class docs — this is the most consequential file reviewed across every module so far</w:t>
      </w:r>
    </w:p>
    <w:p>
      <w:pPr>
        <w:pStyle w:val="FirstParagraph"/>
      </w:pPr>
      <w:r>
        <w:rPr>
          <w:bCs/>
          <w:b/>
        </w:rPr>
        <w:t xml:space="preserve">A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success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flag is inverted — success reports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false</w:t>
      </w:r>
      <w:r>
        <w:rPr>
          <w:bCs/>
          <w:b/>
        </w:rPr>
        <w:t xml:space="preserve"> </w:t>
      </w:r>
      <w:r>
        <w:rPr>
          <w:bCs/>
          <w:b/>
        </w:rPr>
        <w:t xml:space="preserve">and failure</w:t>
      </w:r>
      <w:r>
        <w:rPr>
          <w:bCs/>
          <w:b/>
        </w:rPr>
        <w:t xml:space="preserve"> </w:t>
      </w:r>
      <w:r>
        <w:rPr>
          <w:bCs/>
          <w:b/>
        </w:rPr>
        <w:t xml:space="preserve">reports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true</w:t>
      </w:r>
      <w:r>
        <w:rPr>
          <w:bCs/>
          <w:b/>
        </w:rPr>
        <w:t xml:space="preserve"> </w:t>
      </w:r>
      <w:r>
        <w:rPr>
          <w:bCs/>
          <w:b/>
        </w:rPr>
        <w:t xml:space="preserve">— across at least four endpoints in this file</w:t>
      </w:r>
      <w:r>
        <w:t xml:space="preserve"> </w:t>
      </w:r>
      <w:r>
        <w:t xml:space="preserve">(</w:t>
      </w:r>
      <w:r>
        <w:rPr>
          <w:rStyle w:val="VerbatimChar"/>
        </w:rPr>
        <w:t xml:space="preserve">InvigilatorLogout</w:t>
      </w:r>
      <w:r>
        <w:t xml:space="preserve">,</w:t>
      </w:r>
      <w:r>
        <w:t xml:space="preserve"> </w:t>
      </w:r>
      <w:r>
        <w:rPr>
          <w:rStyle w:val="VerbatimChar"/>
        </w:rPr>
        <w:t xml:space="preserve">AnswerSheetScanning</w:t>
      </w:r>
      <w:r>
        <w:t xml:space="preserve">,</w:t>
      </w:r>
      <w:r>
        <w:t xml:space="preserve"> </w:t>
      </w:r>
      <w:r>
        <w:rPr>
          <w:rStyle w:val="VerbatimChar"/>
        </w:rPr>
        <w:t xml:space="preserve">AnswerSheetBulkUploadGet</w:t>
      </w:r>
      <w:r>
        <w:t xml:space="preserve">,</w:t>
      </w:r>
      <w:r>
        <w:t xml:space="preserve"> </w:t>
      </w:r>
      <w:r>
        <w:rPr>
          <w:rStyle w:val="VerbatimChar"/>
        </w:rPr>
        <w:t xml:space="preserve">AnswerSheetBulkUpload</w:t>
      </w:r>
      <w:r>
        <w:t xml:space="preserve">). A caller checking this flag to decide</w:t>
      </w:r>
      <w:r>
        <w:t xml:space="preserve"> </w:t>
      </w:r>
      <w:r>
        <w:t xml:space="preserve">whether an action succeeded would draw the exact opposite conclusion</w:t>
      </w:r>
      <w:r>
        <w:t xml:space="preserve"> </w:t>
      </w:r>
      <w:r>
        <w:t xml:space="preserve">from what actually happened. See each class’s own doc, and</w:t>
      </w:r>
      <w:r>
        <w:t xml:space="preserve"> </w:t>
      </w:r>
      <w:r>
        <w:rPr>
          <w:rStyle w:val="VerbatimChar"/>
        </w:rPr>
        <w:t xml:space="preserve">InvigilatorLogout.docx</w:t>
      </w:r>
      <w:r>
        <w:t xml:space="preserve"> </w:t>
      </w:r>
      <w:r>
        <w:t xml:space="preserve">in particular for the clearest side-by-side</w:t>
      </w:r>
      <w:r>
        <w:t xml:space="preserve"> </w:t>
      </w:r>
      <w:r>
        <w:t xml:space="preserve">example.</w:t>
      </w:r>
    </w:p>
    <w:p>
      <w:pPr>
        <w:pStyle w:val="BodyText"/>
      </w:pPr>
      <w:r>
        <w:rPr>
          <w:bCs/>
          <w:b/>
        </w:rPr>
        <w:t xml:space="preserve">The one-time-password (OTP) check does not appear to check a</w:t>
      </w:r>
      <w:r>
        <w:rPr>
          <w:bCs/>
          <w:b/>
        </w:rPr>
        <w:t xml:space="preserve"> </w:t>
      </w:r>
      <w:r>
        <w:rPr>
          <w:bCs/>
          <w:b/>
        </w:rPr>
        <w:t xml:space="preserve">per-user code at all.</w:t>
      </w:r>
      <w:r>
        <w:t xml:space="preserve"> </w:t>
      </w:r>
      <w:r>
        <w:rPr>
          <w:rStyle w:val="VerbatimChar"/>
        </w:rPr>
        <w:t xml:space="preserve">Invigilatorotpcheck</w:t>
      </w:r>
      <w:r>
        <w:t xml:space="preserve"> </w:t>
      </w:r>
      <w:r>
        <w:t xml:space="preserve">compares the submitted</w:t>
      </w:r>
      <w:r>
        <w:t xml:space="preserve"> </w:t>
      </w:r>
      <w:r>
        <w:t xml:space="preserve">OTP against</w:t>
      </w:r>
      <w:r>
        <w:t xml:space="preserve"> </w:t>
      </w:r>
      <w:r>
        <w:rPr>
          <w:rStyle w:val="VerbatimChar"/>
        </w:rPr>
        <w:t xml:space="preserve">cache_code()</w:t>
      </w:r>
      <w:r>
        <w:t xml:space="preserve"> </w:t>
      </w:r>
      <w:r>
        <w:t xml:space="preserve">— a function decorated with</w:t>
      </w:r>
      <w:r>
        <w:t xml:space="preserve"> </w:t>
      </w:r>
      <w:r>
        <w:rPr>
          <w:rStyle w:val="VerbatimChar"/>
        </w:rPr>
        <w:t xml:space="preserve">@cached(cache=code_cache)</w:t>
      </w:r>
      <w:r>
        <w:t xml:space="preserve"> </w:t>
      </w:r>
      <w:r>
        <w:t xml:space="preserve">and called with</w:t>
      </w:r>
      <w:r>
        <w:t xml:space="preserve"> </w:t>
      </w:r>
      <w:r>
        <w:rPr>
          <w:bCs/>
          <w:b/>
        </w:rPr>
        <w:t xml:space="preserve">no arguments</w:t>
      </w:r>
      <w:r>
        <w:t xml:space="preserve">, so it</w:t>
      </w:r>
      <w:r>
        <w:t xml:space="preserve"> </w:t>
      </w:r>
      <w:r>
        <w:t xml:space="preserve">returns and caches a single, shared value for its entire 10-minute</w:t>
      </w:r>
      <w:r>
        <w:t xml:space="preserve"> </w:t>
      </w:r>
      <w:r>
        <w:t xml:space="preserve">TTL window, the same for every invigilator, everywhere, at once. See</w:t>
      </w:r>
      <w:r>
        <w:t xml:space="preserve"> </w:t>
      </w:r>
      <w:r>
        <w:rPr>
          <w:rStyle w:val="VerbatimChar"/>
        </w:rPr>
        <w:t xml:space="preserve">Invigilatorotpcheck.docx</w:t>
      </w:r>
      <w:r>
        <w:t xml:space="preserve"> </w:t>
      </w:r>
      <w:r>
        <w:t xml:space="preserve">for the full explanation — this looks like</w:t>
      </w:r>
      <w:r>
        <w:t xml:space="preserve"> </w:t>
      </w:r>
      <w:r>
        <w:t xml:space="preserve">a genuine authentication weakness in the MFA step of the invigilator</w:t>
      </w:r>
      <w:r>
        <w:t xml:space="preserve"> </w:t>
      </w:r>
      <w:r>
        <w:t xml:space="preserve">login flow.</w:t>
      </w:r>
    </w:p>
    <w:p>
      <w:pPr>
        <w:pStyle w:val="BodyText"/>
      </w:pPr>
      <w:r>
        <w:rPr>
          <w:rStyle w:val="VerbatimChar"/>
          <w:bCs/>
          <w:b/>
        </w:rPr>
        <w:t xml:space="preserve">ExaminerAppDteChng</w:t>
      </w:r>
      <w:r>
        <w:rPr>
          <w:bCs/>
          <w:b/>
        </w:rPr>
        <w:t xml:space="preserve"> </w:t>
      </w:r>
      <w:r>
        <w:rPr>
          <w:bCs/>
          <w:b/>
        </w:rPr>
        <w:t xml:space="preserve">operates on a hardcoded database row id,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385</w:t>
      </w:r>
      <w:r>
        <w:t xml:space="preserve">, regardless of what the caller intends — every single call to</w:t>
      </w:r>
      <w:r>
        <w:t xml:space="preserve"> </w:t>
      </w:r>
      <w:r>
        <w:t xml:space="preserve">this endpoint changes the exam date of that one specific</w:t>
      </w:r>
      <w:r>
        <w:t xml:space="preserve"> </w:t>
      </w:r>
      <w:r>
        <w:rPr>
          <w:rStyle w:val="VerbatimChar"/>
        </w:rPr>
        <w:t xml:space="preserve">ExamHallAllotment</w:t>
      </w:r>
      <w:r>
        <w:t xml:space="preserve"> </w:t>
      </w:r>
      <w:r>
        <w:t xml:space="preserve">record, system-wide. See</w:t>
      </w:r>
      <w:r>
        <w:t xml:space="preserve"> </w:t>
      </w:r>
      <w:r>
        <w:rPr>
          <w:rStyle w:val="VerbatimChar"/>
        </w:rPr>
        <w:t xml:space="preserve">ExaminerAppDteChng.docx</w:t>
      </w:r>
      <w:r>
        <w:t xml:space="preserve">.</w:t>
      </w:r>
    </w:p>
    <w:p>
      <w:pPr>
        <w:pStyle w:val="BodyText"/>
      </w:pPr>
      <w:r>
        <w:rPr>
          <w:rStyle w:val="VerbatimChar"/>
          <w:bCs/>
          <w:b/>
        </w:rPr>
        <w:t xml:space="preserve">AnswerSheetSerialNumberData</w:t>
      </w:r>
      <w:r>
        <w:rPr>
          <w:bCs/>
          <w:b/>
        </w:rPr>
        <w:t xml:space="preserve"> </w:t>
      </w:r>
      <w:r>
        <w:rPr>
          <w:bCs/>
          <w:b/>
        </w:rPr>
        <w:t xml:space="preserve">returns every answer-sheet serial</w:t>
      </w:r>
      <w:r>
        <w:rPr>
          <w:bCs/>
          <w:b/>
        </w:rPr>
        <w:t xml:space="preserve"> </w:t>
      </w:r>
      <w:r>
        <w:rPr>
          <w:bCs/>
          <w:b/>
        </w:rPr>
        <w:t xml:space="preserve">number/QR endorsement number in the entire system, unfiltered, with</w:t>
      </w:r>
      <w:r>
        <w:rPr>
          <w:bCs/>
          <w:b/>
        </w:rPr>
        <w:t xml:space="preserve"> </w:t>
      </w:r>
      <w:r>
        <w:rPr>
          <w:bCs/>
          <w:b/>
        </w:rPr>
        <w:t xml:space="preserve">no authentication required</w:t>
      </w:r>
      <w:r>
        <w:t xml:space="preserve"> </w:t>
      </w:r>
      <w:r>
        <w:t xml:space="preserve">(</w:t>
      </w:r>
      <w:r>
        <w:rPr>
          <w:rStyle w:val="VerbatimChar"/>
        </w:rPr>
        <w:t xml:space="preserve">permission_classes = (AllowAny,)</w:t>
      </w:r>
      <w:r>
        <w:t xml:space="preserve">).</w:t>
      </w:r>
      <w:r>
        <w:t xml:space="preserve"> </w:t>
      </w:r>
      <w:r>
        <w:t xml:space="preserve">See</w:t>
      </w:r>
      <w:r>
        <w:t xml:space="preserve"> </w:t>
      </w:r>
      <w:r>
        <w:rPr>
          <w:rStyle w:val="VerbatimChar"/>
        </w:rPr>
        <w:t xml:space="preserve">AnswerSheetSerialNumberData.docx</w:t>
      </w:r>
      <w:r>
        <w:t xml:space="preserve">.</w:t>
      </w:r>
    </w:p>
    <w:p>
      <w:pPr>
        <w:pStyle w:val="BodyText"/>
      </w:pPr>
      <w:r>
        <w:t xml:space="preserve">Given the density and severity of these findings, this file is worth</w:t>
      </w:r>
      <w:r>
        <w:t xml:space="preserve"> </w:t>
      </w:r>
      <w:r>
        <w:t xml:space="preserve">prioritizing for review above nearly everything else covered across</w:t>
      </w:r>
      <w:r>
        <w:t xml:space="preserve"> </w:t>
      </w:r>
      <w:r>
        <w:t xml:space="preserve">these modules so far.</w:t>
      </w:r>
    </w:p>
    <w:bookmarkEnd w:id="21"/>
    <w:bookmarkStart w:id="22" w:name="classes-in-this-file"/>
    <w:p>
      <w:pPr>
        <w:pStyle w:val="Heading2"/>
      </w:pPr>
      <w:r>
        <w:t xml:space="preserve">Classes in this file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InvigilatorLogin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Invigilator login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Invigilatorotpcheck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MFA/OTP verification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InvigilatorLogout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Logout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ActiveExamHalls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ActiveExamsByHallID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ActiveStudentsByExamID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Unwired (commented out in</w:t>
            </w:r>
            <w:r>
              <w:t xml:space="preserve"> </w:t>
            </w:r>
            <w:r>
              <w:rPr>
                <w:rStyle w:val="VerbatimChar"/>
              </w:rPr>
              <w:t xml:space="preserve">urls.py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AnswerSheetScanning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Scan one answer sheet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AnswerSheetBulkUploadGet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AnswerSheetBulkUpload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Unimplemented stubs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ExaminerAppApi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Load the examiner’s active halls/students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AnswerSheetSerialNumberData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Fetch all QR serial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ExaminerAppSvApi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Save a batch of sheet-to-candidate mappings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ExaminerAppRvrtApi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Revert a mapping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ExaminerAppForgotSendOTP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ExaminerAppForgotPassOTPVerification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ExaminerAppForgotSavNewPassword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Forgot-password flow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ExaminerAppDteChng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Hardcoded date-change utility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ExaminerAppApiNotUsd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Dead code</w:t>
            </w:r>
          </w:p>
        </w:tc>
      </w:tr>
    </w:tbl>
    <w:bookmarkEnd w:id="22"/>
    <w:bookmarkStart w:id="23" w:name="X59d25f9a8d356e606d9e35cc040c6ac8c330a8d"/>
    <w:p>
      <w:pPr>
        <w:pStyle w:val="Heading2"/>
      </w:pPr>
      <w:r>
        <w:t xml:space="preserve">Non-API content in this file (not separately documented)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EmailThread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  <w:bCs/>
          <w:b/>
        </w:rPr>
        <w:t xml:space="preserve">Util.send_email(data)</w:t>
      </w:r>
      <w:r>
        <w:t xml:space="preserve"> </w:t>
      </w:r>
      <w:r>
        <w:t xml:space="preserve">— the same</w:t>
      </w:r>
      <w:r>
        <w:t xml:space="preserve"> </w:t>
      </w:r>
      <w:r>
        <w:t xml:space="preserve">fire-and-forget email helper pattern seen in several other modules.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CsrfExemptSessionAuthentication</w:t>
      </w:r>
      <w:r>
        <w:t xml:space="preserve"> </w:t>
      </w:r>
      <w:r>
        <w:t xml:space="preserve">— a small authentication class</w:t>
      </w:r>
      <w:r>
        <w:t xml:space="preserve"> </w:t>
      </w:r>
      <w:r>
        <w:t xml:space="preserve">that disables CSRF enforcement, used across most endpoints in this</w:t>
      </w:r>
      <w:r>
        <w:t xml:space="preserve"> </w:t>
      </w:r>
      <w:r>
        <w:t xml:space="preserve">file (appropriate for a mobile app that can’t easily supply a CSRF</w:t>
      </w:r>
      <w:r>
        <w:t xml:space="preserve"> </w:t>
      </w:r>
      <w:r>
        <w:t xml:space="preserve">token, though worth confirming the app’s own auth is otherwise</w:t>
      </w:r>
      <w:r>
        <w:t xml:space="preserve"> </w:t>
      </w:r>
      <w:r>
        <w:t xml:space="preserve">robust given the other findings above).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cache_code()</w:t>
      </w:r>
      <w:r>
        <w:t xml:space="preserve"> </w:t>
      </w:r>
      <w:r>
        <w:t xml:space="preserve">— the shared, unscoped OTP-generation function</w:t>
      </w:r>
      <w:r>
        <w:t xml:space="preserve"> </w:t>
      </w:r>
      <w:r>
        <w:t xml:space="preserve">described above.</w:t>
      </w:r>
    </w:p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color w:val="007020"/>
      <w:b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color w:val="008000"/>
      <w:b/>
    </w:rPr>
  </w:style>
  <w:style w:customStyle="1" w:styleId="CommentTok" w:type="character">
    <w:name w:val="CommentTok"/>
    <w:basedOn w:val="VerbatimChar"/>
    <w:rPr>
      <w:color w:val="60a0b0"/>
      <w:i/>
    </w:rPr>
  </w:style>
  <w:style w:customStyle="1" w:styleId="DocumentationTok" w:type="character">
    <w:name w:val="DocumentationTok"/>
    <w:basedOn w:val="VerbatimChar"/>
    <w:rPr>
      <w:color w:val="ba2121"/>
      <w:i/>
    </w:rPr>
  </w:style>
  <w:style w:customStyle="1" w:styleId="AnnotationTok" w:type="character">
    <w:name w:val="AnnotationTok"/>
    <w:basedOn w:val="VerbatimChar"/>
    <w:rPr>
      <w:color w:val="60a0b0"/>
      <w:b/>
      <w:i/>
    </w:rPr>
  </w:style>
  <w:style w:customStyle="1" w:styleId="CommentVarTok" w:type="character">
    <w:name w:val="CommentVarTok"/>
    <w:basedOn w:val="VerbatimChar"/>
    <w:rPr>
      <w:color w:val="60a0b0"/>
      <w:b/>
      <w:i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color w:val="007020"/>
      <w:b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color w:val="60a0b0"/>
      <w:b/>
      <w:i/>
    </w:rPr>
  </w:style>
  <w:style w:customStyle="1" w:styleId="WarningTok" w:type="character">
    <w:name w:val="WarningTok"/>
    <w:basedOn w:val="VerbatimChar"/>
    <w:rPr>
      <w:color w:val="60a0b0"/>
      <w:b/>
      <w:i/>
    </w:rPr>
  </w:style>
  <w:style w:customStyle="1" w:styleId="AlertTok" w:type="character">
    <w:name w:val="AlertTok"/>
    <w:basedOn w:val="VerbatimChar"/>
    <w:rPr>
      <w:color w:val="ff0000"/>
      <w:b/>
    </w:rPr>
  </w:style>
  <w:style w:customStyle="1" w:styleId="ErrorTok" w:type="character">
    <w:name w:val="ErrorTok"/>
    <w:basedOn w:val="VerbatimChar"/>
    <w:rPr>
      <w:color w:val="ff0000"/>
      <w:b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2026-09-01T03:50:49Z</dcterms:created>
  <dcterms:modified xsi:type="dcterms:W3CDTF">2026-09-01T03:50:49Z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