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onscreen-conversion-and-scanning"/>
    <w:p>
      <w:pPr>
        <w:pStyle w:val="Heading1"/>
      </w:pPr>
      <w:r>
        <w:t xml:space="preserve">Onscreen Conversion and Scanning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revaluation/onscreen_revaluation.py</w:t>
      </w:r>
      <w:r>
        <w:t xml:space="preserve"> </w:t>
      </w:r>
      <w:r>
        <w:t xml:space="preserve">(classes</w:t>
      </w:r>
      <w:r>
        <w:t xml:space="preserve"> </w:t>
      </w:r>
      <w:r>
        <w:rPr>
          <w:rStyle w:val="VerbatimChar"/>
        </w:rPr>
        <w:t xml:space="preserve">RevaluationOnscreenBundle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RevaluationOnscreenExamDetails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RevaluationQRScannedAnswerSheets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ScannedBundleInformation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CandidateBundleCrossCheck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revaluation/urls.py</w:t>
      </w:r>
    </w:p>
    <w:bookmarkStart w:id="23" w:name="revaluation-onscreen-bundle"/>
    <w:p>
      <w:pPr>
        <w:pStyle w:val="Heading2"/>
      </w:pPr>
      <w:r>
        <w:t xml:space="preserve">1. Revaluation Onscreen Bundle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(create the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conversion bundle)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RevaluationOnscreenBundle</w:t>
            </w:r>
          </w:p>
        </w:tc>
      </w:tr>
    </w:tbl>
    <w:bookmarkStart w:id="20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Converts a set of candidates originally meant for physical-scan</w:t>
      </w:r>
      <w:r>
        <w:t xml:space="preserve"> </w:t>
      </w:r>
      <w:r>
        <w:t xml:space="preserve">revaluation into an</w:t>
      </w:r>
      <w:r>
        <w:t xml:space="preserve"> </w:t>
      </w:r>
      <w:r>
        <w:t xml:space="preserve">“</w:t>
      </w:r>
      <w:r>
        <w:t xml:space="preserve">onscreen conversion</w:t>
      </w:r>
      <w:r>
        <w:t xml:space="preserve">”</w:t>
      </w:r>
      <w:r>
        <w:t xml:space="preserve"> </w:t>
      </w:r>
      <w:r>
        <w:t xml:space="preserve">bundle instead — creating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/</w:t>
      </w:r>
      <w:r>
        <w:rPr>
          <w:rStyle w:val="VerbatimChar"/>
        </w:rPr>
        <w:t xml:space="preserve">BundleSlip</w:t>
      </w:r>
      <w:r>
        <w:t xml:space="preserve">/</w:t>
      </w:r>
      <w:r>
        <w:rPr>
          <w:rStyle w:val="VerbatimChar"/>
        </w:rPr>
        <w:t xml:space="preserve">BundleCandidateMapper</w:t>
      </w:r>
      <w:r>
        <w:t xml:space="preserve"> </w:t>
      </w:r>
      <w:r>
        <w:t xml:space="preserve">records</w:t>
      </w:r>
      <w:r>
        <w:t xml:space="preserve"> </w:t>
      </w:r>
      <w:r>
        <w:t xml:space="preserve">needed so the answer sheets can subsequently be scanned into the</w:t>
      </w:r>
      <w:r>
        <w:t xml:space="preserve"> </w:t>
      </w:r>
      <w:r>
        <w:t xml:space="preserve">onscreen flow.</w:t>
      </w:r>
    </w:p>
    <w:bookmarkEnd w:id="20"/>
    <w:bookmarkStart w:id="21" w:name="how-it-works-step-by-step"/>
    <w:p>
      <w:pPr>
        <w:pStyle w:val="Heading3"/>
      </w:pPr>
      <w:r>
        <w:t xml:space="preserve">How it works — step by step</w:t>
      </w:r>
    </w:p>
    <w:p>
      <w:pPr>
        <w:pStyle w:val="FirstParagraph"/>
      </w:pPr>
      <w:r>
        <w:t xml:space="preserve">Same overall shape as the bundle-creation actions documented</w:t>
      </w:r>
      <w:r>
        <w:t xml:space="preserve"> </w:t>
      </w:r>
      <w:r>
        <w:t xml:space="preserve">elsewhere in this module: resolve the candidates, build a bundle</w:t>
      </w:r>
      <w:r>
        <w:t xml:space="preserve"> </w:t>
      </w:r>
      <w:r>
        <w:t xml:space="preserve">name/code (using an</w:t>
      </w:r>
      <w:r>
        <w:t xml:space="preserve"> </w:t>
      </w:r>
      <w:r>
        <w:rPr>
          <w:rStyle w:val="VerbatimChar"/>
        </w:rPr>
        <w:t xml:space="preserve">"OCB"</w:t>
      </w:r>
      <w:r>
        <w:t xml:space="preserve"> </w:t>
      </w:r>
      <w:r>
        <w:t xml:space="preserve">— On-screen Conversion Bundle — naming</w:t>
      </w:r>
      <w:r>
        <w:t xml:space="preserve"> </w:t>
      </w:r>
      <w:r>
        <w:t xml:space="preserve">segment), encrypt the QR data, save the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, then create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BundleSlip</w:t>
      </w:r>
      <w:r>
        <w:t xml:space="preserve"> </w:t>
      </w:r>
      <w:r>
        <w:t xml:space="preserve">and one</w:t>
      </w:r>
      <w:r>
        <w:t xml:space="preserve"> </w:t>
      </w:r>
      <w:r>
        <w:rPr>
          <w:rStyle w:val="VerbatimChar"/>
        </w:rPr>
        <w:t xml:space="preserve">BundleCandidateMapper</w:t>
      </w:r>
      <w:r>
        <w:t xml:space="preserve"> </w:t>
      </w:r>
      <w:r>
        <w:t xml:space="preserve">per candidate.</w:t>
      </w:r>
    </w:p>
    <w:bookmarkEnd w:id="21"/>
    <w:bookmarkStart w:id="22" w:name="X9e39e7238ee1bb673b95dd13088398ba4b81fef"/>
    <w:p>
      <w:pPr>
        <w:pStyle w:val="Heading3"/>
      </w:pPr>
      <w:r>
        <w:t xml:space="preserve">Notes / issues found — success is reported with an HTTP error status code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CONV_BUNDLE_CREATED,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'bundle_id'</w:t>
      </w:r>
      <w:r>
        <w:rPr>
          <w:rStyle w:val="NormalTok"/>
        </w:rPr>
        <w:t xml:space="preserve">: bundle_id},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status.HTTP_400_BAD_REQUEST)</w:t>
      </w:r>
    </w:p>
    <w:p>
      <w:pPr>
        <w:pStyle w:val="FirstParagraph"/>
      </w:pPr>
      <w:r>
        <w:t xml:space="preserve">The response body correctly reports</w:t>
      </w:r>
      <w:r>
        <w:t xml:space="preserve"> </w:t>
      </w:r>
      <w:r>
        <w:rPr>
          <w:rStyle w:val="VerbatimChar"/>
        </w:rPr>
        <w:t xml:space="preserve">status: true</w:t>
      </w:r>
      <w:r>
        <w:t xml:space="preserve"> </w:t>
      </w:r>
      <w:r>
        <w:t xml:space="preserve">and a</w:t>
      </w:r>
      <w:r>
        <w:t xml:space="preserve"> </w:t>
      </w:r>
      <w:r>
        <w:t xml:space="preserve">“</w:t>
      </w:r>
      <w:r>
        <w:t xml:space="preserve">bundle</w:t>
      </w:r>
      <w:r>
        <w:t xml:space="preserve"> </w:t>
      </w:r>
      <w:r>
        <w:t xml:space="preserve">created</w:t>
      </w:r>
      <w:r>
        <w:t xml:space="preserve">”</w:t>
      </w:r>
      <w:r>
        <w:t xml:space="preserve"> </w:t>
      </w:r>
      <w:r>
        <w:t xml:space="preserve">message — this is the success path, and the bundle genuinely</w:t>
      </w:r>
      <w:r>
        <w:t xml:space="preserve"> </w:t>
      </w:r>
      <w:r>
        <w:t xml:space="preserve">was created at this point in the method. But the HTTP status code</w:t>
      </w:r>
      <w:r>
        <w:t xml:space="preserve"> </w:t>
      </w:r>
      <w:r>
        <w:t xml:space="preserve">attached to this response is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 </w:t>
      </w:r>
      <w:r>
        <w:t xml:space="preserve">— conventionally a</w:t>
      </w:r>
      <w:r>
        <w:t xml:space="preserve"> </w:t>
      </w:r>
      <w:r>
        <w:t xml:space="preserve">client-error code. Any caller that inspects the HTTP status before</w:t>
      </w:r>
      <w:r>
        <w:t xml:space="preserve"> </w:t>
      </w:r>
      <w:r>
        <w:t xml:space="preserve">(or instead of) reading the JSON body — a common integration pattern</w:t>
      </w:r>
      <w:r>
        <w:t xml:space="preserve"> </w:t>
      </w:r>
      <w:r>
        <w:t xml:space="preserve">— would treat a successful bundle conversion as a failed request.</w:t>
      </w:r>
      <w:r>
        <w:t xml:space="preserve"> </w:t>
      </w:r>
      <w:r>
        <w:t xml:space="preserve">This looks like a copy-paste slip (reusing the</w:t>
      </w:r>
      <w:r>
        <w:t xml:space="preserve"> </w:t>
      </w:r>
      <w:r>
        <w:rPr>
          <w:rStyle w:val="VerbatimChar"/>
        </w:rPr>
        <w:t xml:space="preserve">status_code=</w:t>
      </w:r>
      <w:r>
        <w:t xml:space="preserve"> </w:t>
      </w:r>
      <w:r>
        <w:t xml:space="preserve">from a</w:t>
      </w:r>
      <w:r>
        <w:t xml:space="preserve"> </w:t>
      </w:r>
      <w:r>
        <w:t xml:space="preserve">nearby error-response template) rather than an intentional choice.</w:t>
      </w:r>
    </w:p>
    <w:p>
      <w:pPr>
        <w:pStyle w:val="BodyText"/>
      </w:pPr>
      <w:r>
        <w:rPr>
          <w:rStyle w:val="VerbatimChar"/>
        </w:rPr>
        <w:t xml:space="preserve">exst_bundcode</w:t>
      </w:r>
      <w:r>
        <w:t xml:space="preserve"> </w:t>
      </w:r>
      <w:r>
        <w:t xml:space="preserve">is assigned twice in a row from the same query,</w:t>
      </w:r>
      <w:r>
        <w:t xml:space="preserve"> </w:t>
      </w:r>
      <w:r>
        <w:t xml:space="preserve">immediately overwriting itself with an identical value — harmless,</w:t>
      </w:r>
      <w:r>
        <w:t xml:space="preserve"> </w:t>
      </w:r>
      <w:r>
        <w:t xml:space="preserve">but redundant.</w:t>
      </w:r>
    </w:p>
    <w:bookmarkEnd w:id="22"/>
    <w:bookmarkEnd w:id="23"/>
    <w:bookmarkStart w:id="24" w:name="revaluation-onscreen-exam-details"/>
    <w:p>
      <w:pPr>
        <w:pStyle w:val="Heading2"/>
      </w:pPr>
      <w:r>
        <w:t xml:space="preserve">2. Revaluation Onscreen Exam Details</w:t>
      </w:r>
    </w:p>
    <w:p>
      <w:pPr>
        <w:pStyle w:val="FirstParagraph"/>
      </w:pPr>
      <w:r>
        <w:t xml:space="preserve">Given a QP code and programme-course, resolves the exam schedule and</w:t>
      </w:r>
      <w:r>
        <w:t xml:space="preserve"> </w:t>
      </w:r>
      <w:r>
        <w:t xml:space="preserve">reports several readiness counts: how many candidates need</w:t>
      </w:r>
      <w:r>
        <w:t xml:space="preserve"> </w:t>
      </w:r>
      <w:r>
        <w:t xml:space="preserve">revaluation, how many already have a scanned answer sheet, and how</w:t>
      </w:r>
      <w:r>
        <w:t xml:space="preserve"> </w:t>
      </w:r>
      <w:r>
        <w:t xml:space="preserve">many are already bundled for scanning. Returns specific messages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NO_REVALUATION_AVAILABLE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NO_ANSWER_SHEET_SCAN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NO_ANSWERSHEET_TO_BUNDLE</w:t>
      </w:r>
      <w:r>
        <w:t xml:space="preserve">) at each stage where nothing remains to</w:t>
      </w:r>
      <w:r>
        <w:t xml:space="preserve"> </w:t>
      </w:r>
      <w:r>
        <w:t xml:space="preserve">act on — a genuinely well-structured, staged validation. No</w:t>
      </w:r>
      <w:r>
        <w:t xml:space="preserve"> </w:t>
      </w:r>
      <w:r>
        <w:t xml:space="preserve">significant issues found.</w:t>
      </w:r>
    </w:p>
    <w:bookmarkEnd w:id="24"/>
    <w:bookmarkStart w:id="25" w:name="revaluation-qr-scanned-answer-sheets"/>
    <w:p>
      <w:pPr>
        <w:pStyle w:val="Heading2"/>
      </w:pPr>
      <w:r>
        <w:t xml:space="preserve">3. Revaluation QR Scanned Answer Sheets</w:t>
      </w:r>
    </w:p>
    <w:p>
      <w:pPr>
        <w:pStyle w:val="FirstParagraph"/>
      </w:pPr>
      <w:r>
        <w:t xml:space="preserve">Given a scanned QR code, decrypts it and runs a careful sequence of</w:t>
      </w:r>
      <w:r>
        <w:t xml:space="preserve"> </w:t>
      </w:r>
      <w:r>
        <w:t xml:space="preserve">eligibility checks — confirms the candidate belongs to this</w:t>
      </w:r>
      <w:r>
        <w:t xml:space="preserve"> </w:t>
      </w:r>
      <w:r>
        <w:t xml:space="preserve">exam/course, has a genuine revaluation application, hasn’t already</w:t>
      </w:r>
      <w:r>
        <w:t xml:space="preserve"> </w:t>
      </w:r>
      <w:r>
        <w:t xml:space="preserve">been scanned, and hasn’t already been bundled — each with its own</w:t>
      </w:r>
      <w:r>
        <w:t xml:space="preserve"> </w:t>
      </w:r>
      <w:r>
        <w:t xml:space="preserve">specific rejection message. No significant issues found; this is one</w:t>
      </w:r>
      <w:r>
        <w:t xml:space="preserve"> </w:t>
      </w:r>
      <w:r>
        <w:t xml:space="preserve">of the more thoroughly-validated scan-eligibility endpoints across</w:t>
      </w:r>
      <w:r>
        <w:t xml:space="preserve"> </w:t>
      </w:r>
      <w:r>
        <w:t xml:space="preserve">the whole module.</w:t>
      </w:r>
    </w:p>
    <w:bookmarkEnd w:id="25"/>
    <w:bookmarkStart w:id="27" w:name="scanned-bundle-information"/>
    <w:p>
      <w:pPr>
        <w:pStyle w:val="Heading2"/>
      </w:pPr>
      <w:r>
        <w:t xml:space="preserve">4. Scanned Bundle Information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ScannedBundleInformation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AllowAny</w:t>
            </w:r>
          </w:p>
        </w:tc>
      </w:tr>
    </w:tbl>
    <w:p>
      <w:pPr>
        <w:pStyle w:val="BodyText"/>
      </w:pPr>
      <w:r>
        <w:t xml:space="preserve">Given a bundle id, returns its exam/programme/course/semester</w:t>
      </w:r>
      <w:r>
        <w:t xml:space="preserve"> </w:t>
      </w:r>
      <w:r>
        <w:t xml:space="preserve">display details and candidate count — used to show a summary after a</w:t>
      </w:r>
      <w:r>
        <w:t xml:space="preserve"> </w:t>
      </w:r>
      <w:r>
        <w:t xml:space="preserve">bundle has been scanned. No None-check on the initial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lookup, or on the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 </w:t>
      </w:r>
      <w:r>
        <w:t xml:space="preserve">lookup that follows, before</w:t>
      </w:r>
      <w:r>
        <w:t xml:space="preserve"> </w:t>
      </w:r>
      <w:r>
        <w:t xml:space="preserve">their attributes are used.</w:t>
      </w:r>
    </w:p>
    <w:bookmarkStart w:id="26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Marked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AllowAny</w:t>
      </w:r>
      <w:r>
        <w:t xml:space="preserve"> </w:t>
      </w:r>
      <w:r>
        <w:t xml:space="preserve">— returns exam/programme/course details for</w:t>
      </w:r>
      <w:r>
        <w:t xml:space="preserve"> </w:t>
      </w:r>
      <w:r>
        <w:t xml:space="preserve">any bundle id, given to any caller, with no authentication required.</w:t>
      </w:r>
      <w:r>
        <w:t xml:space="preserve"> </w:t>
      </w:r>
      <w:r>
        <w:t xml:space="preserve">The same access-control pattern flagged for several</w:t>
      </w:r>
      <w:r>
        <w:t xml:space="preserve"> </w:t>
      </w:r>
      <w:r>
        <w:rPr>
          <w:rStyle w:val="VerbatimChar"/>
        </w:rPr>
        <w:t xml:space="preserve">AllowAny</w:t>
      </w:r>
      <w:r>
        <w:t xml:space="preserve"> </w:t>
      </w:r>
      <w:r>
        <w:t xml:space="preserve">endpoints in the</w:t>
      </w:r>
      <w:r>
        <w:t xml:space="preserve"> </w:t>
      </w:r>
      <w:r>
        <w:rPr>
          <w:rStyle w:val="VerbatimChar"/>
        </w:rPr>
        <w:t xml:space="preserve">qr_map</w:t>
      </w:r>
      <w:r>
        <w:t xml:space="preserve"> </w:t>
      </w:r>
      <w:r>
        <w:t xml:space="preserve">module.</w:t>
      </w:r>
    </w:p>
    <w:bookmarkEnd w:id="26"/>
    <w:bookmarkEnd w:id="27"/>
    <w:bookmarkStart w:id="28" w:name="candidate-bundle-cross-check"/>
    <w:p>
      <w:pPr>
        <w:pStyle w:val="Heading2"/>
      </w:pPr>
      <w:r>
        <w:t xml:space="preserve">5. Candidate Bundle Cross Check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CandidateBundleCrossCheck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AllowAny</w:t>
            </w:r>
          </w:p>
        </w:tc>
      </w:tr>
    </w:tbl>
    <w:p>
      <w:pPr>
        <w:pStyle w:val="BodyText"/>
      </w:pPr>
      <w:r>
        <w:t xml:space="preserve">Given a bundle code and a scanned QR value, checks whether that</w:t>
      </w:r>
      <w:r>
        <w:t xml:space="preserve"> </w:t>
      </w:r>
      <w:r>
        <w:t xml:space="preserve">scanned candidate genuinely belongs to that bundle — a mis-scan</w:t>
      </w:r>
      <w:r>
        <w:t xml:space="preserve"> </w:t>
      </w:r>
      <w:r>
        <w:t xml:space="preserve">safety check. Also marked</w:t>
      </w:r>
      <w:r>
        <w:t xml:space="preserve"> </w:t>
      </w:r>
      <w:r>
        <w:rPr>
          <w:rStyle w:val="VerbatimChar"/>
        </w:rPr>
        <w:t xml:space="preserve">AllowAny</w:t>
      </w:r>
      <w:r>
        <w:t xml:space="preserve">; no None-checks on the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/</w:t>
      </w:r>
      <w:r>
        <w:rPr>
          <w:rStyle w:val="VerbatimChar"/>
        </w:rPr>
        <w:t xml:space="preserve">ExamRegistrationCourseMapper</w:t>
      </w:r>
      <w:r>
        <w:t xml:space="preserve">/</w:t>
      </w:r>
      <w:r>
        <w:rPr>
          <w:rStyle w:val="VerbatimChar"/>
        </w:rPr>
        <w:t xml:space="preserve">DigitalFalseNumber</w:t>
      </w:r>
      <w:r>
        <w:t xml:space="preserve"> </w:t>
      </w:r>
      <w:r>
        <w:t xml:space="preserve">lookups before their results are used, meaning a bad bundle code or</w:t>
      </w:r>
      <w:r>
        <w:t xml:space="preserve"> </w:t>
      </w:r>
      <w:r>
        <w:t xml:space="preserve">QR value would raise an unhandled error rather than a specific</w:t>
      </w:r>
      <w:r>
        <w:t xml:space="preserve"> </w:t>
      </w:r>
      <w:r>
        <w:t xml:space="preserve">“</w:t>
      </w:r>
      <w:r>
        <w:t xml:space="preserve">not</w:t>
      </w:r>
      <w:r>
        <w:t xml:space="preserve"> </w:t>
      </w:r>
      <w:r>
        <w:t xml:space="preserve">found</w:t>
      </w:r>
      <w:r>
        <w:t xml:space="preserve">”</w:t>
      </w:r>
      <w:r>
        <w:t xml:space="preserve"> </w:t>
      </w:r>
      <w:r>
        <w:t xml:space="preserve">response — inconsistent with the careful, staged validation</w:t>
      </w:r>
      <w:r>
        <w:t xml:space="preserve"> </w:t>
      </w:r>
      <w:r>
        <w:t xml:space="preserve">seen in</w:t>
      </w:r>
      <w:r>
        <w:t xml:space="preserve"> </w:t>
      </w:r>
      <w:r>
        <w:rPr>
          <w:rStyle w:val="VerbatimChar"/>
        </w:rPr>
        <w:t xml:space="preserve">RevaluationQRScannedAnswerSheets</w:t>
      </w:r>
      <w:r>
        <w:t xml:space="preserve"> </w:t>
      </w:r>
      <w:r>
        <w:t xml:space="preserve">above.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2026-09-08T10:05:01Z</dcterms:created>
  <dcterms:modified xsi:type="dcterms:W3CDTF">2026-09-08T10:05:01Z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