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8" w:name="direct-distribution-flow"/>
    <w:p>
      <w:pPr>
        <w:pStyle w:val="Heading1"/>
      </w:pPr>
      <w:r>
        <w:t xml:space="preserve">Direct Distribution Flow</w:t>
      </w:r>
    </w:p>
    <w:p>
      <w:pPr>
        <w:pStyle w:val="FirstParagraph"/>
      </w:pPr>
      <w:r>
        <w:t xml:space="preserve">Source file:</w:t>
      </w:r>
      <w:r>
        <w:t xml:space="preserve"> </w:t>
      </w:r>
      <w:r>
        <w:rPr>
          <w:rStyle w:val="VerbatimChar"/>
        </w:rPr>
        <w:t xml:space="preserve">revaluation/rev_direct_bundl_aloction.py</w:t>
      </w:r>
      <w:r>
        <w:t xml:space="preserve"> </w:t>
      </w:r>
      <w:r>
        <w:t xml:space="preserve">(classes</w:t>
      </w:r>
      <w:r>
        <w:t xml:space="preserve"> </w:t>
      </w:r>
      <w:r>
        <w:rPr>
          <w:rStyle w:val="VerbatimChar"/>
        </w:rPr>
        <w:t xml:space="preserve">RevDirectDistributionList</w:t>
      </w:r>
      <w:r>
        <w:t xml:space="preserve">,</w:t>
      </w:r>
      <w:r>
        <w:t xml:space="preserve"> </w:t>
      </w:r>
      <w:r>
        <w:rPr>
          <w:rStyle w:val="VerbatimChar"/>
        </w:rPr>
        <w:t xml:space="preserve">RevBundleExamDetalis</w:t>
      </w:r>
      <w:r>
        <w:t xml:space="preserve">,</w:t>
      </w:r>
      <w:r>
        <w:t xml:space="preserve"> </w:t>
      </w:r>
      <w:r>
        <w:rPr>
          <w:rStyle w:val="VerbatimChar"/>
        </w:rPr>
        <w:t xml:space="preserve">RevDirectEvaluvationExaminerList</w:t>
      </w:r>
      <w:r>
        <w:t xml:space="preserve">) URL mapping:</w:t>
      </w:r>
      <w:r>
        <w:t xml:space="preserve"> </w:t>
      </w:r>
      <w:r>
        <w:rPr>
          <w:rStyle w:val="VerbatimChar"/>
        </w:rPr>
        <w:t xml:space="preserve">revaluation/urls.py</w:t>
      </w:r>
    </w:p>
    <w:bookmarkStart w:id="20" w:name="what-this-flow-is-for"/>
    <w:p>
      <w:pPr>
        <w:pStyle w:val="Heading2"/>
      </w:pPr>
      <w:r>
        <w:t xml:space="preserve">What this flow is for</w:t>
      </w:r>
    </w:p>
    <w:p>
      <w:pPr>
        <w:pStyle w:val="FirstParagraph"/>
      </w:pPr>
      <w:r>
        <w:t xml:space="preserve">An alternative to the QR-scan bundling flow: an Admin Officer types</w:t>
      </w:r>
      <w:r>
        <w:t xml:space="preserve"> </w:t>
      </w:r>
      <w:r>
        <w:t xml:space="preserve">in an existing bundle code directly and assigns a first-level</w:t>
      </w:r>
      <w:r>
        <w:t xml:space="preserve"> </w:t>
      </w:r>
      <w:r>
        <w:t xml:space="preserve">examiner to it, rather than scanning sheets one at a time to build a</w:t>
      </w:r>
      <w:r>
        <w:t xml:space="preserve"> </w:t>
      </w:r>
      <w:r>
        <w:t xml:space="preserve">new bundle. Presumably used when a bundle already exists (from the</w:t>
      </w:r>
      <w:r>
        <w:t xml:space="preserve"> </w:t>
      </w:r>
      <w:r>
        <w:t xml:space="preserve">normal evaluation flow) and simply needs a first revaluation examiner</w:t>
      </w:r>
      <w:r>
        <w:t xml:space="preserve"> </w:t>
      </w:r>
      <w:r>
        <w:t xml:space="preserve">attached to it.</w:t>
      </w:r>
    </w:p>
    <w:bookmarkEnd w:id="20"/>
    <w:bookmarkStart w:id="25" w:name="revaluation-direct-distribution-list"/>
    <w:p>
      <w:pPr>
        <w:pStyle w:val="Heading2"/>
      </w:pPr>
      <w:r>
        <w:t xml:space="preserve">1. Revaluation Direct Distribution List</w:t>
      </w:r>
    </w:p>
    <w:tbl>
      <w:tblPr>
        <w:tblStyle w:val="Table"/>
        <w:tblW w:type="pct" w:w="4865"/>
        <w:tblLook w:firstRow="0" w:lastRow="0" w:firstColumn="0" w:lastColumn="0" w:noHBand="0" w:noVBand="0" w:val="0000"/>
        <w:jc w:val="start"/>
      </w:tblPr>
      <w:tblGrid>
        <w:gridCol w:w="3852"/>
        <w:gridCol w:w="3852"/>
      </w:tblGrid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URL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rev-direct-distribution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  <w:r>
              <w:t xml:space="preserve"> </w:t>
            </w:r>
            <w:r>
              <w:t xml:space="preserve">(page) /</w:t>
            </w:r>
            <w:r>
              <w:t xml:space="preserve"> </w:t>
            </w:r>
            <w:r>
              <w:rPr>
                <w:rStyle w:val="VerbatimChar"/>
              </w:rPr>
              <w:t xml:space="preserve">POST</w:t>
            </w:r>
            <w:r>
              <w:t xml:space="preserve"> </w:t>
            </w:r>
            <w:r>
              <w:t xml:space="preserve">(assign) ·</w:t>
            </w:r>
            <w:r>
              <w:t xml:space="preserve"> </w:t>
            </w:r>
            <w:r>
              <w:t xml:space="preserve">runs inside a database transaction</w:t>
            </w:r>
            <w:r>
              <w:t xml:space="preserve"> </w:t>
            </w:r>
            <w:r>
              <w:rPr>
                <w:rStyle w:val="VerbatimChar"/>
              </w:rPr>
              <w:t xml:space="preserve">RevDirectDistributionList</w:t>
            </w:r>
          </w:p>
        </w:tc>
      </w:tr>
    </w:tbl>
    <w:bookmarkStart w:id="21" w:name="what-this-api-is-for"/>
    <w:p>
      <w:pPr>
        <w:pStyle w:val="Heading3"/>
      </w:pPr>
      <w:r>
        <w:t xml:space="preserve">What this API is for</w:t>
      </w:r>
    </w:p>
    <w:p>
      <w:pPr>
        <w:pStyle w:val="FirstParagraph"/>
      </w:pPr>
      <w:r>
        <w:t xml:space="preserve">Given a bundle code and an examiner, assigns that examiner to the</w:t>
      </w:r>
      <w:r>
        <w:t xml:space="preserve"> </w:t>
      </w:r>
      <w:r>
        <w:t xml:space="preserve">bundle for first-level revaluation.</w:t>
      </w:r>
    </w:p>
    <w:bookmarkEnd w:id="21"/>
    <w:bookmarkStart w:id="22" w:name="request"/>
    <w:p>
      <w:pPr>
        <w:pStyle w:val="Heading3"/>
      </w:pPr>
      <w:r>
        <w:t xml:space="preserve">Request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bundle_code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camp_rol_allo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distribution_type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bundle and examiner being assigned</w:t>
            </w:r>
          </w:p>
        </w:tc>
      </w:tr>
    </w:tbl>
    <w:bookmarkEnd w:id="22"/>
    <w:bookmarkStart w:id="23" w:name="how-it-works-step-by-step"/>
    <w:p>
      <w:pPr>
        <w:pStyle w:val="Heading3"/>
      </w:pPr>
      <w:r>
        <w:t xml:space="preserve">How it works — step by step</w:t>
      </w:r>
    </w:p>
    <w:p>
      <w:pPr>
        <w:numPr>
          <w:ilvl w:val="0"/>
          <w:numId w:val="1001"/>
        </w:numPr>
        <w:pStyle w:val="Compact"/>
      </w:pPr>
      <w:r>
        <w:t xml:space="preserve">Confirm this bundle doesn’t already have a first-level examiner</w:t>
      </w:r>
      <w:r>
        <w:t xml:space="preserve"> </w:t>
      </w:r>
      <w:r>
        <w:t xml:space="preserve">assigned — refuse with</w:t>
      </w:r>
      <w:r>
        <w:t xml:space="preserve"> </w:t>
      </w:r>
      <w:r>
        <w:rPr>
          <w:rStyle w:val="VerbatimChar"/>
        </w:rPr>
        <w:t xml:space="preserve">FIRST_ANS_DIST_COMPLETED</w:t>
      </w:r>
      <w:r>
        <w:t xml:space="preserve"> </w:t>
      </w:r>
      <w:r>
        <w:t xml:space="preserve">if it does.</w:t>
      </w:r>
    </w:p>
    <w:p>
      <w:pPr>
        <w:numPr>
          <w:ilvl w:val="0"/>
          <w:numId w:val="1001"/>
        </w:numPr>
        <w:pStyle w:val="Compact"/>
      </w:pPr>
      <w:r>
        <w:t xml:space="preserve">Collect every candidate mapped to the bundle.</w:t>
      </w:r>
    </w:p>
    <w:p>
      <w:pPr>
        <w:numPr>
          <w:ilvl w:val="0"/>
          <w:numId w:val="1001"/>
        </w:numPr>
        <w:pStyle w:val="Compact"/>
      </w:pPr>
      <w:r>
        <w:t xml:space="preserve">Create a</w:t>
      </w:r>
      <w:r>
        <w:t xml:space="preserve"> </w:t>
      </w:r>
      <w:r>
        <w:rPr>
          <w:rStyle w:val="VerbatimChar"/>
        </w:rPr>
        <w:t xml:space="preserve">BundleExaminer</w:t>
      </w:r>
      <w:r>
        <w:t xml:space="preserve"> </w:t>
      </w:r>
      <w:r>
        <w:t xml:space="preserve">record for the requested examiner at</w:t>
      </w:r>
      <w:r>
        <w:t xml:space="preserve"> </w:t>
      </w:r>
      <w:r>
        <w:t xml:space="preserve">Level 1, then create matching</w:t>
      </w:r>
      <w:r>
        <w:t xml:space="preserve"> </w:t>
      </w:r>
      <w:r>
        <w:rPr>
          <w:rStyle w:val="VerbatimChar"/>
        </w:rPr>
        <w:t xml:space="preserve">ExaminerFalseNumber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RevaluationExaminerFalseNumber</w:t>
      </w:r>
      <w:r>
        <w:t xml:space="preserve"> </w:t>
      </w:r>
      <w:r>
        <w:t xml:space="preserve">records for every candidate.</w:t>
      </w:r>
    </w:p>
    <w:p>
      <w:pPr>
        <w:numPr>
          <w:ilvl w:val="0"/>
          <w:numId w:val="1001"/>
        </w:numPr>
        <w:pStyle w:val="Compact"/>
      </w:pPr>
      <w:r>
        <w:t xml:space="preserve">Create the</w:t>
      </w:r>
      <w:r>
        <w:t xml:space="preserve"> </w:t>
      </w:r>
      <w:r>
        <w:rPr>
          <w:rStyle w:val="VerbatimChar"/>
        </w:rPr>
        <w:t xml:space="preserve">RevaluationBundle</w:t>
      </w:r>
      <w:r>
        <w:t xml:space="preserve"> </w:t>
      </w:r>
      <w:r>
        <w:t xml:space="preserve">record marking this bundle as under</w:t>
      </w:r>
      <w:r>
        <w:t xml:space="preserve"> </w:t>
      </w:r>
      <w:r>
        <w:t xml:space="preserve">revaluation.</w:t>
      </w:r>
    </w:p>
    <w:bookmarkEnd w:id="23"/>
    <w:bookmarkStart w:id="24" w:name="notes-issues-found"/>
    <w:p>
      <w:pPr>
        <w:pStyle w:val="Heading3"/>
      </w:pPr>
      <w:r>
        <w:t xml:space="preserve">Notes / issues found</w:t>
      </w:r>
    </w:p>
    <w:p>
      <w:pPr>
        <w:pStyle w:val="FirstParagraph"/>
      </w:pPr>
      <w:r>
        <w:t xml:space="preserve">Correctly wrapped in</w:t>
      </w:r>
      <w:r>
        <w:t xml:space="preserve"> </w:t>
      </w:r>
      <w:r>
        <w:rPr>
          <w:rStyle w:val="VerbatimChar"/>
        </w:rPr>
        <w:t xml:space="preserve">@transaction.atomic</w:t>
      </w:r>
      <w:r>
        <w:t xml:space="preserve">. No significant issues</w:t>
      </w:r>
      <w:r>
        <w:t xml:space="preserve"> </w:t>
      </w:r>
      <w:r>
        <w:t xml:space="preserve">found otherwise.</w:t>
      </w:r>
    </w:p>
    <w:bookmarkEnd w:id="24"/>
    <w:bookmarkEnd w:id="25"/>
    <w:bookmarkStart w:id="26" w:name="revaluation-bundle-exam-details"/>
    <w:p>
      <w:pPr>
        <w:pStyle w:val="Heading2"/>
      </w:pPr>
      <w:r>
        <w:t xml:space="preserve">2. Revaluation Bundle Exam Details</w:t>
      </w:r>
    </w:p>
    <w:tbl>
      <w:tblPr>
        <w:tblStyle w:val="Table"/>
        <w:tblW w:type="pct" w:w="4865"/>
        <w:tblLook w:firstRow="0" w:lastRow="0" w:firstColumn="0" w:lastColumn="0" w:noHBand="0" w:noVBand="0" w:val="0000"/>
        <w:jc w:val="start"/>
      </w:tblPr>
      <w:tblGrid>
        <w:gridCol w:w="3852"/>
        <w:gridCol w:w="3852"/>
      </w:tblGrid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URL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rev-direct-distribution-exam-details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View class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RevBundleExamDetalis</w:t>
            </w:r>
          </w:p>
        </w:tc>
      </w:tr>
    </w:tbl>
    <w:p>
      <w:pPr>
        <w:pStyle w:val="BodyText"/>
      </w:pPr>
      <w:r>
        <w:t xml:space="preserve">Given a bundle code, confirms it’s a genuine revaluation bundle and</w:t>
      </w:r>
      <w:r>
        <w:t xml:space="preserve"> </w:t>
      </w:r>
      <w:r>
        <w:t xml:space="preserve">not already assigned, then returns its exam/course/camp context for</w:t>
      </w:r>
      <w:r>
        <w:t xml:space="preserve"> </w:t>
      </w:r>
      <w:r>
        <w:t xml:space="preserve">the direct-distribution form. No significant issues found.</w:t>
      </w:r>
    </w:p>
    <w:bookmarkEnd w:id="26"/>
    <w:bookmarkStart w:id="27" w:name="Xbac7998c2e36a978a0d4ae6b67932b472800e64"/>
    <w:p>
      <w:pPr>
        <w:pStyle w:val="Heading2"/>
      </w:pPr>
      <w:r>
        <w:t xml:space="preserve">3. Revaluation Direct Evaluation Examiner List</w:t>
      </w:r>
    </w:p>
    <w:tbl>
      <w:tblPr>
        <w:tblStyle w:val="Table"/>
        <w:tblW w:type="pct" w:w="4865"/>
        <w:tblLook w:firstRow="0" w:lastRow="0" w:firstColumn="0" w:lastColumn="0" w:noHBand="0" w:noVBand="0" w:val="0000"/>
        <w:jc w:val="start"/>
      </w:tblPr>
      <w:tblGrid>
        <w:gridCol w:w="3852"/>
        <w:gridCol w:w="3852"/>
      </w:tblGrid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URL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rev-direct-distribution-examiner-details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View class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RevDirectEvaluvationExaminerList</w:t>
            </w:r>
          </w:p>
        </w:tc>
      </w:tr>
    </w:tbl>
    <w:p>
      <w:pPr>
        <w:pStyle w:val="BodyText"/>
      </w:pPr>
      <w:r>
        <w:t xml:space="preserve">Given a bundle code, exam, and distribution type, returns eligible</w:t>
      </w:r>
      <w:r>
        <w:t xml:space="preserve"> </w:t>
      </w:r>
      <w:r>
        <w:t xml:space="preserve">examiners at the officer’s camp for that course, excluding examiners</w:t>
      </w:r>
      <w:r>
        <w:t xml:space="preserve"> </w:t>
      </w:r>
      <w:r>
        <w:t xml:space="preserve">already assigned to an evaluated bundle. No significant issues found</w:t>
      </w:r>
      <w:r>
        <w:t xml:space="preserve"> </w:t>
      </w:r>
      <w:r>
        <w:t xml:space="preserve">beyond the module-wide missing None-checks.</w:t>
      </w:r>
    </w:p>
    <w:bookmarkEnd w:id="27"/>
    <w:bookmarkEnd w:id="2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SourceCode" w:type="paragraph">
    <w:name w:val="Source Code"/>
    <w:basedOn w:val="Normal"/>
    <w:link w:val="VerbatimChar"/>
    <w:pPr>
      <w:wordWrap w:val="off"/>
    </w:pPr>
  </w:style>
  <w:style w:customStyle="1" w:styleId="KeywordTok" w:type="character">
    <w:name w:val="KeywordTok"/>
    <w:basedOn w:val="VerbatimChar"/>
    <w:rPr>
      <w:color w:val="007020"/>
      <w:b/>
    </w:rPr>
  </w:style>
  <w:style w:customStyle="1" w:styleId="DataTypeTok" w:type="character">
    <w:name w:val="DataTypeTok"/>
    <w:basedOn w:val="VerbatimChar"/>
    <w:rPr>
      <w:color w:val="902000"/>
    </w:rPr>
  </w:style>
  <w:style w:customStyle="1" w:styleId="DecValTok" w:type="character">
    <w:name w:val="DecValTok"/>
    <w:basedOn w:val="VerbatimChar"/>
    <w:rPr>
      <w:color w:val="40a070"/>
    </w:rPr>
  </w:style>
  <w:style w:customStyle="1" w:styleId="BaseNTok" w:type="character">
    <w:name w:val="BaseNTok"/>
    <w:basedOn w:val="VerbatimChar"/>
    <w:rPr>
      <w:color w:val="40a070"/>
    </w:rPr>
  </w:style>
  <w:style w:customStyle="1" w:styleId="FloatTok" w:type="character">
    <w:name w:val="FloatTok"/>
    <w:basedOn w:val="VerbatimChar"/>
    <w:rPr>
      <w:color w:val="40a070"/>
    </w:rPr>
  </w:style>
  <w:style w:customStyle="1" w:styleId="ConstantTok" w:type="character">
    <w:name w:val="ConstantTok"/>
    <w:basedOn w:val="VerbatimChar"/>
    <w:rPr>
      <w:color w:val="880000"/>
    </w:rPr>
  </w:style>
  <w:style w:customStyle="1" w:styleId="CharTok" w:type="character">
    <w:name w:val="CharTok"/>
    <w:basedOn w:val="VerbatimChar"/>
    <w:rPr>
      <w:color w:val="4070a0"/>
    </w:rPr>
  </w:style>
  <w:style w:customStyle="1" w:styleId="SpecialCharTok" w:type="character">
    <w:name w:val="SpecialCharTok"/>
    <w:basedOn w:val="VerbatimChar"/>
    <w:rPr>
      <w:color w:val="4070a0"/>
    </w:rPr>
  </w:style>
  <w:style w:customStyle="1" w:styleId="StringTok" w:type="character">
    <w:name w:val="StringTok"/>
    <w:basedOn w:val="VerbatimChar"/>
    <w:rPr>
      <w:color w:val="4070a0"/>
    </w:rPr>
  </w:style>
  <w:style w:customStyle="1" w:styleId="VerbatimStringTok" w:type="character">
    <w:name w:val="VerbatimStringTok"/>
    <w:basedOn w:val="VerbatimChar"/>
    <w:rPr>
      <w:color w:val="4070a0"/>
    </w:rPr>
  </w:style>
  <w:style w:customStyle="1" w:styleId="SpecialStringTok" w:type="character">
    <w:name w:val="SpecialStringTok"/>
    <w:basedOn w:val="VerbatimChar"/>
    <w:rPr>
      <w:color w:val="bb6688"/>
    </w:rPr>
  </w:style>
  <w:style w:customStyle="1" w:styleId="ImportTok" w:type="character">
    <w:name w:val="ImportTok"/>
    <w:basedOn w:val="VerbatimChar"/>
    <w:rPr>
      <w:color w:val="008000"/>
      <w:b/>
    </w:rPr>
  </w:style>
  <w:style w:customStyle="1" w:styleId="CommentTok" w:type="character">
    <w:name w:val="CommentTok"/>
    <w:basedOn w:val="VerbatimChar"/>
    <w:rPr>
      <w:color w:val="60a0b0"/>
      <w:i/>
    </w:rPr>
  </w:style>
  <w:style w:customStyle="1" w:styleId="DocumentationTok" w:type="character">
    <w:name w:val="DocumentationTok"/>
    <w:basedOn w:val="VerbatimChar"/>
    <w:rPr>
      <w:color w:val="ba2121"/>
      <w:i/>
    </w:rPr>
  </w:style>
  <w:style w:customStyle="1" w:styleId="AnnotationTok" w:type="character">
    <w:name w:val="AnnotationTok"/>
    <w:basedOn w:val="VerbatimChar"/>
    <w:rPr>
      <w:color w:val="60a0b0"/>
      <w:b/>
      <w:i/>
    </w:rPr>
  </w:style>
  <w:style w:customStyle="1" w:styleId="CommentVarTok" w:type="character">
    <w:name w:val="CommentVarTok"/>
    <w:basedOn w:val="VerbatimChar"/>
    <w:rPr>
      <w:color w:val="60a0b0"/>
      <w:b/>
      <w:i/>
    </w:rPr>
  </w:style>
  <w:style w:customStyle="1" w:styleId="OtherTok" w:type="character">
    <w:name w:val="OtherTok"/>
    <w:basedOn w:val="VerbatimChar"/>
    <w:rPr>
      <w:color w:val="007020"/>
    </w:rPr>
  </w:style>
  <w:style w:customStyle="1" w:styleId="FunctionTok" w:type="character">
    <w:name w:val="FunctionTok"/>
    <w:basedOn w:val="VerbatimChar"/>
    <w:rPr>
      <w:color w:val="06287e"/>
    </w:rPr>
  </w:style>
  <w:style w:customStyle="1" w:styleId="VariableTok" w:type="character">
    <w:name w:val="VariableTok"/>
    <w:basedOn w:val="VerbatimChar"/>
    <w:rPr>
      <w:color w:val="19177c"/>
    </w:rPr>
  </w:style>
  <w:style w:customStyle="1" w:styleId="ControlFlowTok" w:type="character">
    <w:name w:val="ControlFlowTok"/>
    <w:basedOn w:val="VerbatimChar"/>
    <w:rPr>
      <w:color w:val="007020"/>
      <w:b/>
    </w:rPr>
  </w:style>
  <w:style w:customStyle="1" w:styleId="OperatorTok" w:type="character">
    <w:name w:val="OperatorTok"/>
    <w:basedOn w:val="VerbatimChar"/>
    <w:rPr>
      <w:color w:val="666666"/>
    </w:rPr>
  </w:style>
  <w:style w:customStyle="1" w:styleId="BuiltInTok" w:type="character">
    <w:name w:val="BuiltInTok"/>
    <w:basedOn w:val="VerbatimChar"/>
    <w:rPr>
      <w:color w:val="008000"/>
    </w:rPr>
  </w:style>
  <w:style w:customStyle="1" w:styleId="ExtensionTok" w:type="character">
    <w:name w:val="ExtensionTok"/>
    <w:basedOn w:val="VerbatimChar"/>
    <w:rPr/>
  </w:style>
  <w:style w:customStyle="1" w:styleId="PreprocessorTok" w:type="character">
    <w:name w:val="PreprocessorTok"/>
    <w:basedOn w:val="VerbatimChar"/>
    <w:rPr>
      <w:color w:val="bc7a00"/>
    </w:rPr>
  </w:style>
  <w:style w:customStyle="1" w:styleId="AttributeTok" w:type="character">
    <w:name w:val="AttributeTok"/>
    <w:basedOn w:val="VerbatimChar"/>
    <w:rPr>
      <w:color w:val="7d9029"/>
    </w:rPr>
  </w:style>
  <w:style w:customStyle="1" w:styleId="RegionMarkerTok" w:type="character">
    <w:name w:val="RegionMarkerTok"/>
    <w:basedOn w:val="VerbatimChar"/>
    <w:rPr/>
  </w:style>
  <w:style w:customStyle="1" w:styleId="InformationTok" w:type="character">
    <w:name w:val="InformationTok"/>
    <w:basedOn w:val="VerbatimChar"/>
    <w:rPr>
      <w:color w:val="60a0b0"/>
      <w:b/>
      <w:i/>
    </w:rPr>
  </w:style>
  <w:style w:customStyle="1" w:styleId="WarningTok" w:type="character">
    <w:name w:val="WarningTok"/>
    <w:basedOn w:val="VerbatimChar"/>
    <w:rPr>
      <w:color w:val="60a0b0"/>
      <w:b/>
      <w:i/>
    </w:rPr>
  </w:style>
  <w:style w:customStyle="1" w:styleId="AlertTok" w:type="character">
    <w:name w:val="AlertTok"/>
    <w:basedOn w:val="VerbatimChar"/>
    <w:rPr>
      <w:color w:val="ff0000"/>
      <w:b/>
    </w:rPr>
  </w:style>
  <w:style w:customStyle="1" w:styleId="ErrorTok" w:type="character">
    <w:name w:val="ErrorTok"/>
    <w:basedOn w:val="VerbatimChar"/>
    <w:rPr>
      <w:color w:val="ff0000"/>
      <w:b/>
    </w:rPr>
  </w:style>
  <w:style w:customStyle="1" w:styleId="NormalTok" w:type="character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2026-09-08T09:57:07Z</dcterms:created>
  <dcterms:modified xsi:type="dcterms:W3CDTF">2026-09-08T09:57:07Z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