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ingle-student-view-consolidated-api"/>
    <w:p>
      <w:pPr>
        <w:pStyle w:val="Heading1"/>
      </w:pPr>
      <w:r>
        <w:t xml:space="preserve">Single Student View Consolidated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consolidated-mark-list counterpart to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 </w:t>
      </w:r>
      <w:r>
        <w:t xml:space="preserve">— same</w:t>
      </w:r>
      <w:r>
        <w:t xml:space="preserve"> </w:t>
      </w:r>
      <w:r>
        <w:t xml:space="preserve">proxy pattern (fetch the actual data from another internal server,</w:t>
      </w:r>
      <w:r>
        <w:t xml:space="preserve"> </w:t>
      </w:r>
      <w:r>
        <w:t xml:space="preserve">apply local formatting/routing on top), but for the full consolidated</w:t>
      </w:r>
      <w:r>
        <w:t xml:space="preserve"> </w:t>
      </w:r>
      <w:r>
        <w:t xml:space="preserve">record rather than a single exam’s marks. Like its sibling, it doesn’t</w:t>
      </w:r>
      <w:r>
        <w:t xml:space="preserve"> </w:t>
      </w:r>
      <w:r>
        <w:t xml:space="preserve">compute marks locally at all.</w:t>
      </w:r>
    </w:p>
    <w:bookmarkEnd w:id="20"/>
    <w:bookmarkStart w:id="26" w:name="X2f9910626b6215fb65138f6541e3056ea8eb565"/>
    <w:p>
      <w:pPr>
        <w:pStyle w:val="Heading2"/>
      </w:pPr>
      <w:r>
        <w:t xml:space="preserve">🔴🔴 A third occurrence of the same hardcoded API token and internal IP</w:t>
      </w:r>
    </w:p>
    <w:p>
      <w:pPr>
        <w:pStyle w:val="SourceCode"/>
      </w:pPr>
      <w:r>
        <w:rPr>
          <w:rStyle w:val="CommentTok"/>
        </w:rPr>
        <w:t xml:space="preserve"># other_api_url = 'http://erp:8027/certificates/sigle-student-consolidated/'+str(user)</w:t>
      </w:r>
      <w:r>
        <w:br/>
      </w:r>
      <w:r>
        <w:rPr>
          <w:rStyle w:val="NormalTok"/>
        </w:rPr>
        <w:t xml:space="preserve">other_api_url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'http://10.20.20.105/certificates/sigle-student-consolidated/'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'a205ce2c1554fb6f3d905805c99c8078d41d5a01'</w:t>
      </w:r>
    </w:p>
    <w:p>
      <w:pPr>
        <w:pStyle w:val="FirstParagraph"/>
      </w:pPr>
      <w:r>
        <w:t xml:space="preserve">Same IP, same token, same commented-out hostname alternative, and —</w:t>
      </w:r>
      <w:r>
        <w:t xml:space="preserve"> </w:t>
      </w:r>
      <w:r>
        <w:t xml:space="preserve">notably — the exact same URL path (including the</w:t>
      </w:r>
      <w:r>
        <w:t xml:space="preserve"> </w:t>
      </w:r>
      <w:r>
        <w:rPr>
          <w:rStyle w:val="VerbatimChar"/>
        </w:rPr>
        <w:t xml:space="preserve">"sigle"</w:t>
      </w:r>
      <w:r>
        <w:t xml:space="preserve"> </w:t>
      </w:r>
      <w:r>
        <w:t xml:space="preserve">typo) as</w:t>
      </w:r>
      <w:r>
        <w:t xml:space="preserve"> </w:t>
      </w:r>
      <w:r>
        <w:t xml:space="preserve">the one called from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’s external-API</w:t>
      </w:r>
      <w:r>
        <w:t xml:space="preserve"> </w:t>
      </w:r>
      <w:r>
        <w:t xml:space="preserve">branch. This is now confirmed in</w:t>
      </w:r>
      <w:r>
        <w:t xml:space="preserve"> </w:t>
      </w:r>
      <w:r>
        <w:rPr>
          <w:bCs/>
          <w:b/>
        </w:rPr>
        <w:t xml:space="preserve">three separate locations</w:t>
      </w:r>
      <w:r>
        <w:t xml:space="preserve"> </w:t>
      </w:r>
      <w:r>
        <w:t xml:space="preserve">across this file (</w:t>
      </w:r>
      <w:r>
        <w:rPr>
          <w:rStyle w:val="VerbatimChar"/>
        </w:rPr>
        <w:t xml:space="preserve">StudentProvisionalCertificate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,</w:t>
      </w:r>
      <w:r>
        <w:t xml:space="preserve"> </w:t>
      </w:r>
      <w:r>
        <w:t xml:space="preserve">and this class) — see</w:t>
      </w:r>
      <w:r>
        <w:t xml:space="preserve"> </w:t>
      </w:r>
      <w:r>
        <w:rPr>
          <w:rStyle w:val="VerbatimChar"/>
        </w:rPr>
        <w:t xml:space="preserve">certificates-00-overview.docx</w:t>
      </w:r>
      <w:r>
        <w:t xml:space="preserve"> </w:t>
      </w:r>
      <w:r>
        <w:t xml:space="preserve">for the</w:t>
      </w:r>
      <w:r>
        <w:t xml:space="preserve"> </w:t>
      </w:r>
      <w:r>
        <w:t xml:space="preserve">consolidated note on this finding.</w:t>
      </w:r>
    </w:p>
    <w:bookmarkStart w:id="21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Calls the other server for the student’s consolidated data.</w:t>
      </w:r>
    </w:p>
    <w:p>
      <w:pPr>
        <w:numPr>
          <w:ilvl w:val="0"/>
          <w:numId w:val="1001"/>
        </w:numPr>
        <w:pStyle w:val="Compact"/>
      </w:pPr>
      <w:r>
        <w:t xml:space="preserve">Checks whether the student has any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 </w:t>
      </w:r>
      <w:r>
        <w:t xml:space="preserve">status — if so, returns an error immediately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{'Error': 'Not Available'}</w:t>
      </w:r>
      <w:r>
        <w:t xml:space="preserve">, another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-not-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shape, same inconsistency already flagged for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Otherwise, dispatches on</w:t>
      </w:r>
      <w:r>
        <w:t xml:space="preserve"> </w:t>
      </w:r>
      <w:r>
        <w:rPr>
          <w:rStyle w:val="VerbatimChar"/>
        </w:rPr>
        <w:t xml:space="preserve">prgmGroupId</w:t>
      </w:r>
      <w:r>
        <w:t xml:space="preserve">/</w:t>
      </w:r>
      <w:r>
        <w:rPr>
          <w:rStyle w:val="VerbatimChar"/>
        </w:rPr>
        <w:t xml:space="preserve">prgClassId</w:t>
      </w:r>
      <w:r>
        <w:t xml:space="preserve">/</w:t>
      </w:r>
      <w:r>
        <w:rPr>
          <w:rStyle w:val="VerbatimChar"/>
        </w:rPr>
        <w:t xml:space="preserve">programmeTypeId</w:t>
      </w:r>
      <w:r>
        <w:t xml:space="preserve"> </w:t>
      </w:r>
      <w:r>
        <w:t xml:space="preserve">combinations to apply programme-specific formatting and pick one of</w:t>
      </w:r>
      <w:r>
        <w:t xml:space="preserve"> </w:t>
      </w:r>
      <w:r>
        <w:t xml:space="preserve">many print templates — a dispatch chain, by template count, even</w:t>
      </w:r>
      <w:r>
        <w:t xml:space="preserve"> </w:t>
      </w:r>
      <w:r>
        <w:t xml:space="preserve">larger than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’s: B.Ed Special</w:t>
      </w:r>
      <w:r>
        <w:t xml:space="preserve"> </w:t>
      </w:r>
      <w:r>
        <w:t xml:space="preserve">Education, B.Ed, LLB, B.Tech, BA Honours, BPEd, MPES, CSS, general</w:t>
      </w:r>
      <w:r>
        <w:t xml:space="preserve"> </w:t>
      </w:r>
      <w:r>
        <w:t xml:space="preserve">PG, and a general UG fallback.</w:t>
      </w:r>
    </w:p>
    <w:bookmarkEnd w:id="21"/>
    <w:bookmarkStart w:id="22" w:name="per-programme-formatting-briefly"/>
    <w:p>
      <w:pPr>
        <w:pStyle w:val="Heading3"/>
      </w:pPr>
      <w:r>
        <w:t xml:space="preserve">Per-programme formatting, briefly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B.Ed Special Education</w:t>
      </w:r>
      <w:r>
        <w:t xml:space="preserve"> </w:t>
      </w:r>
      <w:r>
        <w:t xml:space="preserve">— computes a final grade via</w:t>
      </w:r>
      <w:r>
        <w:t xml:space="preserve"> </w:t>
      </w:r>
      <w:r>
        <w:rPr>
          <w:rStyle w:val="VerbatimChar"/>
        </w:rPr>
        <w:t xml:space="preserve">bed_spcl_grade(ca_max, esa_max, ca_awd, esa_awd)</w:t>
      </w:r>
      <w:r>
        <w:t xml:space="preserve">, the same helper</w:t>
      </w:r>
      <w:r>
        <w:t xml:space="preserve"> </w:t>
      </w:r>
      <w:r>
        <w:t xml:space="preserve">referenced (but not directly demonstrated) in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LLB</w:t>
      </w:r>
      <w:r>
        <w:t xml:space="preserve"> </w:t>
      </w:r>
      <w:r>
        <w:t xml:space="preserve">— sorts courses so that ones ending in</w:t>
      </w:r>
      <w:r>
        <w:t xml:space="preserve"> </w:t>
      </w:r>
      <w:r>
        <w:rPr>
          <w:rStyle w:val="VerbatimChar"/>
        </w:rPr>
        <w:t xml:space="preserve">A1</w:t>
      </w:r>
      <w:r>
        <w:t xml:space="preserve">/</w:t>
      </w:r>
      <w:r>
        <w:rPr>
          <w:rStyle w:val="VerbatimChar"/>
        </w:rPr>
        <w:t xml:space="preserve">A2</w:t>
      </w:r>
      <w:r>
        <w:t xml:space="preserve">/</w:t>
      </w:r>
      <w:r>
        <w:rPr>
          <w:rStyle w:val="VerbatimChar"/>
        </w:rPr>
        <w:t xml:space="preserve">B1</w:t>
      </w:r>
      <w:r>
        <w:t xml:space="preserve">/</w:t>
      </w:r>
      <w:r>
        <w:rPr>
          <w:rStyle w:val="VerbatimChar"/>
        </w:rPr>
        <w:t xml:space="preserve">B2</w:t>
      </w:r>
      <w:r>
        <w:t xml:space="preserve"> </w:t>
      </w:r>
      <w:r>
        <w:t xml:space="preserve">come first, and separately sums each semester’s max marks into a</w:t>
      </w:r>
      <w:r>
        <w:t xml:space="preserve"> </w:t>
      </w:r>
      <w:r>
        <w:rPr>
          <w:rStyle w:val="VerbatimChar"/>
        </w:rPr>
        <w:t xml:space="preserve">semester_max_totals</w:t>
      </w:r>
      <w:r>
        <w:t xml:space="preserve"> </w:t>
      </w:r>
      <w:r>
        <w:t xml:space="preserve">dict for the print template.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B.Tech</w:t>
      </w:r>
      <w:r>
        <w:t xml:space="preserve"> </w:t>
      </w:r>
      <w:r>
        <w:t xml:space="preserve">— separates</w:t>
      </w:r>
      <w:r>
        <w:t xml:space="preserve"> </w:t>
      </w:r>
      <w:r>
        <w:t xml:space="preserve">“</w:t>
      </w:r>
      <w:r>
        <w:t xml:space="preserve">PLVF-type</w:t>
      </w:r>
      <w:r>
        <w:t xml:space="preserve">”</w:t>
      </w:r>
      <w:r>
        <w:t xml:space="preserve"> </w:t>
      </w:r>
      <w:r>
        <w:t xml:space="preserve">courses (course types 13, 8, 7, 5)</w:t>
      </w:r>
      <w:r>
        <w:t xml:space="preserve"> </w:t>
      </w:r>
      <w:r>
        <w:t xml:space="preserve">from the rest for separate display sections, and — specifically</w:t>
      </w:r>
      <w:r>
        <w:t xml:space="preserve"> </w:t>
      </w:r>
      <w:r>
        <w:t xml:space="preserve">noted as</w:t>
      </w:r>
      <w:r>
        <w:t xml:space="preserve"> </w:t>
      </w:r>
      <w:r>
        <w:t xml:space="preserve">“</w:t>
      </w:r>
      <w:r>
        <w:t xml:space="preserve">Only applicable for Btech Lateral Entry Students</w:t>
      </w:r>
      <w:r>
        <w:t xml:space="preserve">”</w:t>
      </w:r>
      <w:r>
        <w:t xml:space="preserve"> </w:t>
      </w:r>
      <w:r>
        <w:t xml:space="preserve">— pads</w:t>
      </w:r>
      <w:r>
        <w:t xml:space="preserve"> </w:t>
      </w:r>
      <w:r>
        <w:rPr>
          <w:rStyle w:val="VerbatimChar"/>
        </w:rPr>
        <w:t xml:space="preserve">sgpaList</w:t>
      </w:r>
      <w:r>
        <w:t xml:space="preserve"> </w:t>
      </w:r>
      <w:r>
        <w:t xml:space="preserve">with two empty placeholder entries if the first recorded</w:t>
      </w:r>
      <w:r>
        <w:t xml:space="preserve"> </w:t>
      </w:r>
      <w:r>
        <w:t xml:space="preserve">semester isn’t semester 1 (i.e. lateral-entry students who joined</w:t>
      </w:r>
      <w:r>
        <w:t xml:space="preserve"> </w:t>
      </w:r>
      <w:r>
        <w:t xml:space="preserve">partway through get blank rows inserted for the semesters they</w:t>
      </w:r>
      <w:r>
        <w:t xml:space="preserve"> </w:t>
      </w:r>
      <w:r>
        <w:t xml:space="preserve">skipped, presumably so the print layout’s semester columns still</w:t>
      </w:r>
      <w:r>
        <w:t xml:space="preserve"> </w:t>
      </w:r>
      <w:r>
        <w:t xml:space="preserve">line up).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 Honours</w:t>
      </w:r>
      <w:r>
        <w:t xml:space="preserve"> </w:t>
      </w:r>
      <w:r>
        <w:t xml:space="preserve">(</w:t>
      </w:r>
      <w:r>
        <w:rPr>
          <w:rStyle w:val="VerbatimChar"/>
        </w:rPr>
        <w:t xml:space="preserve">prgClassId==7, programmeTypeId==12</w:t>
      </w:r>
      <w:r>
        <w:t xml:space="preserve">) — does HTML</w:t>
      </w:r>
      <w:r>
        <w:t xml:space="preserve"> </w:t>
      </w:r>
      <w:r>
        <w:t xml:space="preserve">formatting directly inside the data (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insertion into course</w:t>
      </w:r>
      <w:r>
        <w:t xml:space="preserve"> </w:t>
      </w:r>
      <w:r>
        <w:t xml:space="preserve">names for multi-part courses like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Viva voce</w:t>
      </w:r>
      <w:r>
        <w:t xml:space="preserve">”</w:t>
      </w:r>
      <w:r>
        <w:t xml:space="preserve">), and</w:t>
      </w:r>
      <w:r>
        <w:t xml:space="preserve"> </w:t>
      </w:r>
      <w:r>
        <w:t xml:space="preserve">combines a project’s final mark with its viva mark into a list,</w:t>
      </w:r>
      <w:r>
        <w:t xml:space="preserve"> </w:t>
      </w:r>
      <w:r>
        <w:t xml:space="preserve">joined with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if there’s more than one value — building</w:t>
      </w:r>
      <w:r>
        <w:t xml:space="preserve"> </w:t>
      </w:r>
      <w:r>
        <w:t xml:space="preserve">presentation markup into the API response itself rather than leaving</w:t>
      </w:r>
      <w:r>
        <w:t xml:space="preserve"> </w:t>
      </w:r>
      <w:r>
        <w:t xml:space="preserve">formatting to the frontend/template.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BPEd</w:t>
      </w:r>
      <w:r>
        <w:t xml:space="preserve"> </w:t>
      </w:r>
      <w:r>
        <w:t xml:space="preserve">(</w:t>
      </w:r>
      <w:r>
        <w:rPr>
          <w:rStyle w:val="VerbatimChar"/>
        </w:rPr>
        <w:t xml:space="preserve">prgClassId==17</w:t>
      </w:r>
      <w:r>
        <w:t xml:space="preserve">) — sums total credits/credit-points across</w:t>
      </w:r>
      <w:r>
        <w:t xml:space="preserve"> </w:t>
      </w:r>
      <w:r>
        <w:t xml:space="preserve">all semesters, with a somewhat unusual rounding approach:</w:t>
      </w:r>
      <w:r>
        <w:t xml:space="preserve"> </w:t>
      </w:r>
      <w:r>
        <w:rPr>
          <w:rStyle w:val="VerbatimChar"/>
        </w:rPr>
        <w:t xml:space="preserve">math.trunc((overall_credit_points + 1e-9) * 10) / 10</w:t>
      </w:r>
      <w:r>
        <w:t xml:space="preserve"> </w:t>
      </w:r>
      <w:r>
        <w:t xml:space="preserve">— truncating</w:t>
      </w:r>
      <w:r>
        <w:t xml:space="preserve"> </w:t>
      </w:r>
      <w:r>
        <w:t xml:space="preserve">to one decimal place after adding a tiny epsilon (</w:t>
      </w:r>
      <w:r>
        <w:rPr>
          <w:rStyle w:val="VerbatimChar"/>
        </w:rPr>
        <w:t xml:space="preserve">1e-9</w:t>
      </w:r>
      <w:r>
        <w:t xml:space="preserve">), apparently</w:t>
      </w:r>
      <w:r>
        <w:t xml:space="preserve"> </w:t>
      </w:r>
      <w:r>
        <w:t xml:space="preserve">to avoid floating-point representation issues rounding a value like</w:t>
      </w:r>
      <w:r>
        <w:t xml:space="preserve"> </w:t>
      </w:r>
      <w:r>
        <w:rPr>
          <w:rStyle w:val="VerbatimChar"/>
        </w:rPr>
        <w:t xml:space="preserve">7.9999999996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7.9</w:t>
      </w:r>
      <w:r>
        <w:t xml:space="preserve"> </w:t>
      </w:r>
      <w:r>
        <w:t xml:space="preserve">instead of the intended</w:t>
      </w:r>
      <w:r>
        <w:t xml:space="preserve"> </w:t>
      </w:r>
      <w:r>
        <w:rPr>
          <w:rStyle w:val="VerbatimChar"/>
        </w:rPr>
        <w:t xml:space="preserve">8.0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programmeTypeId==CSS</w:t>
      </w:r>
      <w:r>
        <w:t xml:space="preserve">) — sorts courses by a specific,</w:t>
      </w:r>
      <w:r>
        <w:t xml:space="preserve"> </w:t>
      </w:r>
      <w:r>
        <w:t xml:space="preserve">hardcoded course-type priority order (</w:t>
      </w:r>
      <w:r>
        <w:rPr>
          <w:rStyle w:val="VerbatimChar"/>
        </w:rPr>
        <w:t xml:space="preserve">[10, 24, 11, 26, 6, 25]</w:t>
      </w:r>
      <w:r>
        <w:t xml:space="preserve">, with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explicitly treated as equivalent to type</w:t>
      </w:r>
      <w:r>
        <w:t xml:space="preserve"> </w:t>
      </w:r>
      <w:r>
        <w:rPr>
          <w:rStyle w:val="VerbatimChar"/>
        </w:rPr>
        <w:t xml:space="preserve">10</w:t>
      </w:r>
      <w:r>
        <w:t xml:space="preserve">), then by</w:t>
      </w:r>
      <w:r>
        <w:t xml:space="preserve"> </w:t>
      </w:r>
      <w:r>
        <w:t xml:space="preserve">course code.</w:t>
      </w:r>
    </w:p>
    <w:bookmarkEnd w:id="22"/>
    <w:bookmarkStart w:id="23" w:name="Xa4bac05ea8921c7838fa95e95c815c92d49a842"/>
    <w:p>
      <w:pPr>
        <w:pStyle w:val="Heading3"/>
      </w:pPr>
      <w:r>
        <w:t xml:space="preserve">🔴 The MPES block is written in a visibly different, patch-like style — with several silently-swallowed exceptions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tgt.get(</w:t>
      </w:r>
      <w:r>
        <w:rPr>
          <w:rStyle w:val="StringTok"/>
        </w:rPr>
        <w:t xml:space="preserve">'examReg'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er_id:</w:t>
      </w:r>
      <w:r>
        <w:br/>
      </w:r>
      <w:r>
        <w:rPr>
          <w:rStyle w:val="NormalTok"/>
        </w:rPr>
        <w:t xml:space="preserve">    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PLVFMarkEntry.objects.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qs.count()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django.apps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apps</w:t>
      </w:r>
      <w:r>
        <w:br/>
      </w:r>
      <w:r>
        <w:rPr>
          <w:rStyle w:val="NormalTok"/>
        </w:rPr>
        <w:t xml:space="preserve">                ExamRegModel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apps.get_model(</w:t>
      </w:r>
      <w:r>
        <w:rPr>
          <w:rStyle w:val="StringTok"/>
        </w:rPr>
        <w:t xml:space="preserve">'util'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'ExamRegistration'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target_sem_id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ExamRegModel.objects.get(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er_id).student_semester_id</w:t>
      </w:r>
      <w:r>
        <w:br/>
      </w:r>
      <w:r>
        <w:rPr>
          <w:rStyle w:val="NormalTok"/>
        </w:rPr>
        <w:t xml:space="preserve">            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PLVFMarkEntry.objects.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...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d_mk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f_mark.decrypt(...).decode()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"pvt_key_me.pem"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pf:</w:t>
      </w:r>
      <w:r>
        <w:br/>
      </w:r>
      <w:r>
        <w:rPr>
          <w:rStyle w:val="NormalTok"/>
        </w:rPr>
        <w:t xml:space="preserve">                        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Fernet(pf.read().encode())</w:t>
      </w:r>
      <w:r>
        <w:br/>
      </w:r>
      <w:r>
        <w:rPr>
          <w:rStyle w:val="NormalTok"/>
        </w:rPr>
        <w:t xml:space="preserve">                    d_mk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ft.decrypt(...).decode()</w:t>
      </w:r>
      <w:r>
        <w:br/>
      </w:r>
      <w:r>
        <w:rPr>
          <w:rStyle w:val="NormalTok"/>
        </w:rPr>
        <w:t xml:space="preserve">               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"DEBUG: &gt;&gt;&gt; MPES COMPLETE FIX APPLIED &lt;&lt;&lt;"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f"DEBUG: MPES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block reads noticeably differently from the rest of the file —</w:t>
      </w:r>
      <w:r>
        <w:t xml:space="preserve"> </w:t>
      </w:r>
      <w:r>
        <w:t xml:space="preserve">inline comments like</w:t>
      </w:r>
      <w:r>
        <w:t xml:space="preserve"> </w:t>
      </w:r>
      <w:r>
        <w:rPr>
          <w:rStyle w:val="VerbatimChar"/>
        </w:rPr>
        <w:t xml:space="preserve"># [FIX] MPES: PRACTICALS + CREDITS + MAX MARKS (COMPLETE)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print("DEBUG: &gt;&gt;&gt; STARTING MPES COMPLETE FIX &lt;&lt;&lt;")</w:t>
      </w:r>
      <w:r>
        <w:t xml:space="preserve"> </w:t>
      </w:r>
      <w:r>
        <w:t xml:space="preserve">suggest it was added later as a targeted patch rather than written as</w:t>
      </w:r>
      <w:r>
        <w:t xml:space="preserve"> </w:t>
      </w:r>
      <w:r>
        <w:t xml:space="preserve">part of the original class. Worth flagging specifically: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except: pass</w:t>
      </w:r>
      <w:r>
        <w:rPr>
          <w:bCs/>
          <w:b/>
        </w:rP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silently swallow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exception, not just the specific ones expected (a missing course, a</w:t>
      </w:r>
      <w:r>
        <w:t xml:space="preserve"> </w:t>
      </w:r>
      <w:r>
        <w:t xml:space="preserve">decryption failure, a malformed row) — including genuine bugs</w:t>
      </w:r>
      <w:r>
        <w:t xml:space="preserve"> </w:t>
      </w:r>
      <w:r>
        <w:t xml:space="preserve">elsewhere in this block, which would fail silently rather than</w:t>
      </w:r>
      <w:r>
        <w:t xml:space="preserve"> </w:t>
      </w:r>
      <w:r>
        <w:t xml:space="preserve">surfacing anywhere, not even in a log. If this block stops working</w:t>
      </w:r>
      <w:r>
        <w:t xml:space="preserve"> </w:t>
      </w:r>
      <w:r>
        <w:t xml:space="preserve">correctly for some students, there would be no error trail to</w:t>
      </w:r>
      <w:r>
        <w:t xml:space="preserve"> </w:t>
      </w:r>
      <w:r>
        <w:t xml:space="preserve">follow.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dynamic model lookup as a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apps.get_model('util', 'ExamRegistration')</w:t>
      </w:r>
      <w:r>
        <w:t xml:space="preserve">) instead of a normal</w:t>
      </w:r>
      <w:r>
        <w:t xml:space="preserve"> </w:t>
      </w:r>
      <w:r>
        <w:t xml:space="preserve">import, tried only if the first query attempt’s exception handler</w:t>
      </w:r>
      <w:r>
        <w:t xml:space="preserve"> </w:t>
      </w:r>
      <w:r>
        <w:t xml:space="preserve">already swallowed some earlier failure — a workaround pattern that</w:t>
      </w:r>
      <w:r>
        <w:t xml:space="preserve"> </w:t>
      </w:r>
      <w:r>
        <w:t xml:space="preserve">suggests the straightforward approach wasn’t reliably available when</w:t>
      </w:r>
      <w:r>
        <w:t xml:space="preserve"> </w:t>
      </w:r>
      <w:r>
        <w:t xml:space="preserve">this was written.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Leftover debug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print()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statements</w:t>
      </w:r>
      <w:r>
        <w:t xml:space="preserve">, including one that always</w:t>
      </w:r>
      <w:r>
        <w:t xml:space="preserve"> </w:t>
      </w:r>
      <w:r>
        <w:t xml:space="preserve">fires (</w:t>
      </w:r>
      <w:r>
        <w:rPr>
          <w:rStyle w:val="VerbatimChar"/>
        </w:rPr>
        <w:t xml:space="preserve">"DEBUG: &gt;&gt;&gt; MPES COMPLETE FIX APPLIED &lt;&lt;&lt;"</w:t>
      </w:r>
      <w:r>
        <w:t xml:space="preserve">) regardless of</w:t>
      </w:r>
      <w:r>
        <w:t xml:space="preserve"> </w:t>
      </w:r>
      <w:r>
        <w:t xml:space="preserve">whether the block actually did anything useful.</w:t>
      </w:r>
    </w:p>
    <w:p>
      <w:pPr>
        <w:numPr>
          <w:ilvl w:val="0"/>
          <w:numId w:val="1003"/>
        </w:numPr>
        <w:pStyle w:val="Compact"/>
      </w:pPr>
      <w:r>
        <w:t xml:space="preserve">Functionally, this block cross-references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records</w:t>
      </w:r>
      <w:r>
        <w:t xml:space="preserve"> </w:t>
      </w:r>
      <w:r>
        <w:t xml:space="preserve">against the returned</w:t>
      </w:r>
      <w:r>
        <w:t xml:space="preserve"> </w:t>
      </w:r>
      <w:r>
        <w:rPr>
          <w:rStyle w:val="VerbatimChar"/>
        </w:rPr>
        <w:t xml:space="preserve">internalData</w:t>
      </w:r>
      <w:r>
        <w:t xml:space="preserve"> </w:t>
      </w:r>
      <w:r>
        <w:t xml:space="preserve">to backfill practical marks,</w:t>
      </w:r>
      <w:r>
        <w:t xml:space="preserve"> </w:t>
      </w:r>
      <w:r>
        <w:t xml:space="preserve">extra credit, and max-mark totals for courses with practical/viva</w:t>
      </w:r>
      <w:r>
        <w:t xml:space="preserve"> </w:t>
      </w:r>
      <w:r>
        <w:t xml:space="preserve">components — but because most of its internals are wrapped in</w:t>
      </w:r>
      <w:r>
        <w:t xml:space="preserve"> </w:t>
      </w:r>
      <w:r>
        <w:t xml:space="preserve">exception handlers that discard errors, it’s hard to tell from the</w:t>
      </w:r>
      <w:r>
        <w:t xml:space="preserve"> </w:t>
      </w:r>
      <w:r>
        <w:t xml:space="preserve">code alone whether it reliably succeeds or silently does nothing for</w:t>
      </w:r>
      <w:r>
        <w:t xml:space="preserve"> </w:t>
      </w:r>
      <w:r>
        <w:t xml:space="preserve">a given student.</w:t>
      </w:r>
    </w:p>
    <w:bookmarkEnd w:id="23"/>
    <w:bookmarkStart w:id="24" w:name="Xd8246b9edadadbeba1b26354824b1a32357e898"/>
    <w:p>
      <w:pPr>
        <w:pStyle w:val="Heading3"/>
      </w:pPr>
      <w:r>
        <w:t xml:space="preserve">Response — success (200), template varies by branch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"candidate_name": "JANE DOE",</w:t>
      </w:r>
      <w:r>
        <w:br/>
      </w:r>
      <w:r>
        <w:rPr>
          <w:rStyle w:val="VerbatimChar"/>
        </w:rPr>
        <w:t xml:space="preserve">      "prgmGroupId": 3,</w:t>
      </w:r>
      <w:r>
        <w:br/>
      </w:r>
      <w:r>
        <w:rPr>
          <w:rStyle w:val="VerbatimChar"/>
        </w:rPr>
        <w:t xml:space="preserve">      "prgClassId": 6,</w:t>
      </w:r>
      <w:r>
        <w:br/>
      </w:r>
      <w:r>
        <w:rPr>
          <w:rStyle w:val="VerbatimChar"/>
        </w:rPr>
        <w:t xml:space="preserve">      "sorted_results": [...],</w:t>
      </w:r>
      <w:r>
        <w:br/>
      </w:r>
      <w:r>
        <w:rPr>
          <w:rStyle w:val="VerbatimChar"/>
        </w:rPr>
        <w:t xml:space="preserve">      "sorted_results_plvf": [...],</w:t>
      </w:r>
      <w:r>
        <w:br/>
      </w:r>
      <w:r>
        <w:rPr>
          <w:rStyle w:val="VerbatimChar"/>
        </w:rPr>
        <w:t xml:space="preserve">      "sgpaList": [ { "semester": "1", "totalCr": 20, "totalCp": 160 }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, this class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for its success paths — only the</w:t>
      </w:r>
      <w:r>
        <w:t xml:space="preserve"> </w:t>
      </w:r>
      <w:r>
        <w:t xml:space="preserve">“</w:t>
      </w:r>
      <w:r>
        <w:t xml:space="preserve">student has a failed/pending</w:t>
      </w:r>
      <w:r>
        <w:t xml:space="preserve"> </w:t>
      </w:r>
      <w:r>
        <w:t xml:space="preserve">semester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remote call failed</w:t>
      </w:r>
      <w:r>
        <w:t xml:space="preserve">”</w:t>
      </w:r>
      <w:r>
        <w:t xml:space="preserve"> </w:t>
      </w:r>
      <w:r>
        <w:t xml:space="preserve">branches fall back to raw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objects. A partial improvement over its sibling, but</w:t>
      </w:r>
      <w:r>
        <w:t xml:space="preserve"> </w:t>
      </w:r>
      <w:r>
        <w:t xml:space="preserve">still inconsistent within the same method.</w:t>
      </w:r>
    </w:p>
    <w:bookmarkEnd w:id="24"/>
    <w:bookmarkStart w:id="25" w:name="X636fe65e0c61aaa73f0d9775f55270443b026f2"/>
    <w:p>
      <w:pPr>
        <w:pStyle w:val="Heading3"/>
      </w:pPr>
      <w:r>
        <w:t xml:space="preserve">Response — student has a failed/pending semester, or remote call fails (500)</w:t>
      </w:r>
    </w:p>
    <w:p>
      <w:pPr>
        <w:pStyle w:val="SourceCode"/>
      </w:pPr>
      <w:r>
        <w:rPr>
          <w:rStyle w:val="VerbatimChar"/>
        </w:rPr>
        <w:t xml:space="preserve">{ "Error": "Not Available" }</w:t>
      </w:r>
      <w:r>
        <w:br/>
      </w:r>
      <w:r>
        <w:rPr>
          <w:rStyle w:val="VerbatimChar"/>
        </w:rPr>
        <w:t xml:space="preserve">{ "error": "Unable to make the API request" }</w:t>
      </w:r>
      <w:r>
        <w:br/>
      </w:r>
      <w:r>
        <w:rPr>
          <w:rStyle w:val="VerbatimChar"/>
        </w:rPr>
        <w:t xml:space="preserve">{ "error": "HTTP error" }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2026-08-13T04:34:59Z</dcterms:created>
  <dcterms:modified xsi:type="dcterms:W3CDTF">2026-08-13T04:34:59Z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