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bundle-details-apis"/>
    <w:p>
      <w:pPr>
        <w:pStyle w:val="Heading1"/>
      </w:pPr>
      <w:r>
        <w:t xml:space="preserve">Bundle Details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camp_mgmt/bundledetails.py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.</w:t>
      </w:r>
    </w:p>
    <w:p>
      <w:pPr>
        <w:pStyle w:val="BodyText"/>
      </w:pPr>
      <w:r>
        <w:t xml:space="preserve">Status: ✅ Complete — both routed endpoints from this file: a page</w:t>
      </w:r>
      <w:r>
        <w:t xml:space="preserve"> </w:t>
      </w:r>
      <w:r>
        <w:t xml:space="preserve">shell, and the real bundle-lookup-and-decrypt endpoint behind it.</w:t>
      </w:r>
    </w:p>
    <w:bookmarkStart w:id="22" w:name="bundle-details-page-shell"/>
    <w:p>
      <w:pPr>
        <w:pStyle w:val="Heading2"/>
      </w:pPr>
      <w:r>
        <w:t xml:space="preserve">1. Bundle Details — Page Shell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BundleDetails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Called with keyword arguments (</w:t>
      </w:r>
      <w:r>
        <w:rPr>
          <w:rStyle w:val="VerbatimChar"/>
        </w:rPr>
        <w:t xml:space="preserve">success=True, message="success", status_code=..., template_name=...</w:t>
      </w:r>
      <w:r>
        <w:t xml:space="preserve">) and, notably,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argument</w:t>
      </w:r>
      <w:r>
        <w:rPr>
          <w:bCs/>
          <w:b/>
        </w:rPr>
        <w:t xml:space="preserve"> </w:t>
      </w:r>
      <w:r>
        <w:rPr>
          <w:bCs/>
          <w:b/>
        </w:rPr>
        <w:t xml:space="preserve">at all</w:t>
      </w:r>
      <w:r>
        <w:t xml:space="preserve"> </w:t>
      </w:r>
      <w:r>
        <w:t xml:space="preserve">— consistent with what</w:t>
      </w:r>
      <w:r>
        <w:t xml:space="preserve"> </w:t>
      </w:r>
      <w:r>
        <w:rPr>
          <w:rStyle w:val="VerbatimChar"/>
        </w:rPr>
        <w:t xml:space="preserve">re-admission.md</w:t>
      </w:r>
      <w:r>
        <w:t xml:space="preserve"> </w:t>
      </w:r>
      <w:r>
        <w:t xml:space="preserve">(in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docs) found: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parameter most likely has a</w:t>
      </w:r>
      <w:r>
        <w:t xml:space="preserve"> </w:t>
      </w:r>
      <w:r>
        <w:t xml:space="preserve">default, since this call works the same way.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for a page</w:t>
      </w:r>
      <w:r>
        <w:t xml:space="preserve"> </w:t>
      </w:r>
      <w:r>
        <w:t xml:space="preserve">shell that creates nothing, same pattern seen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</w:t>
      </w:r>
    </w:p>
    <w:bookmarkEnd w:id="20"/>
    <w:bookmarkStart w:id="21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exception handler here is written well relative to most of what’s</w:t>
      </w:r>
      <w:r>
        <w:t xml:space="preserve"> </w:t>
      </w:r>
      <w:r>
        <w:t xml:space="preserve">been found in this series:</w:t>
      </w:r>
      <w:r>
        <w:t xml:space="preserve"> </w:t>
      </w:r>
      <w:r>
        <w:rPr>
          <w:rStyle w:val="VerbatimChar"/>
        </w:rPr>
        <w:t xml:space="preserve">logger.error("Error fetching BundleDetails template", exc_info=True)</w:t>
      </w:r>
      <w:r>
        <w:t xml:space="preserve"> </w:t>
      </w:r>
      <w:r>
        <w:t xml:space="preserve">— a real message string plus</w:t>
      </w:r>
      <w:r>
        <w:t xml:space="preserve"> </w:t>
      </w:r>
      <w:r>
        <w:rPr>
          <w:rStyle w:val="VerbatimChar"/>
        </w:rPr>
        <w:t xml:space="preserve">exc_info=True</w:t>
      </w:r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t xml:space="preserve">argument at all</w:t>
      </w:r>
      <w:r>
        <w:t xml:space="preserve">”</w:t>
      </w:r>
      <w:r>
        <w:t xml:space="preserve"> </w:t>
      </w:r>
      <w:r>
        <w:t xml:space="preserve">bug found repeatedly across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 Worth calling out as a working example of the same</w:t>
      </w:r>
      <w:r>
        <w:t xml:space="preserve"> </w:t>
      </w:r>
      <w:r>
        <w:t xml:space="preserve">pattern others got wrong.</w:t>
      </w:r>
    </w:p>
    <w:bookmarkEnd w:id="21"/>
    <w:bookmarkEnd w:id="22"/>
    <w:bookmarkStart w:id="28" w:name="decrypted-bundle-details"/>
    <w:p>
      <w:pPr>
        <w:pStyle w:val="Heading2"/>
      </w:pPr>
      <w:r>
        <w:t xml:space="preserve">2. Decrypted Bundle Details</w:t>
      </w:r>
    </w:p>
    <w:p>
      <w:pPr>
        <w:pStyle w:val="FirstParagraph"/>
      </w:pPr>
      <w:r>
        <w:t xml:space="preserve">Given a bundle identifier (encrypted or plain, depending on a type</w:t>
      </w:r>
      <w:r>
        <w:t xml:space="preserve"> </w:t>
      </w:r>
      <w:r>
        <w:t xml:space="preserve">code), returns the bundle’s status, exam, and candidate details.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decrypted-bundle-details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 (no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DecryptedBundleDetails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3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a Fernet-encrypted token (if</w:t>
            </w:r>
            <w:r>
              <w:t xml:space="preserve"> </w:t>
            </w:r>
            <w:r>
              <w:rPr>
                <w:rStyle w:val="VerbatimChar"/>
              </w:rPr>
              <w:t xml:space="preserve">bcode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"SA"</w:t>
            </w:r>
            <w:r>
              <w:t xml:space="preserve">) or ignored (if</w:t>
            </w:r>
            <w:r>
              <w:t xml:space="preserve"> </w:t>
            </w:r>
            <w:r>
              <w:rPr>
                <w:rStyle w:val="VerbatimChar"/>
              </w:rPr>
              <w:t xml:space="preserve">bcode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"CA"</w:t>
            </w:r>
            <w:r>
              <w:t xml:space="preserve">, where</w:t>
            </w:r>
            <w:r>
              <w:t xml:space="preserve"> </w:t>
            </w:r>
            <w:r>
              <w:rPr>
                <w:rStyle w:val="VerbatimChar"/>
              </w:rPr>
              <w:t xml:space="preserve">bcode</w:t>
            </w:r>
            <w:r>
              <w:t xml:space="preserve">’s own value is used as the lookup instead — see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exactly</w:t>
            </w:r>
            <w:r>
              <w:t xml:space="preserve"> </w:t>
            </w:r>
            <w:r>
              <w:rPr>
                <w:rStyle w:val="VerbatimChar"/>
              </w:rPr>
              <w:t xml:space="preserve">"SA"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"CA"</w:t>
            </w:r>
            <w:r>
              <w:t xml:space="preserve"> </w:t>
            </w:r>
            <w:r>
              <w:t xml:space="preserve">— see Notes for what happens otherwise.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"&lt;encrypted-token&gt;"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"BND-042-01"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behaviour"/>
    <w:p>
      <w:pPr>
        <w:pStyle w:val="Heading3"/>
      </w:pPr>
      <w:r>
        <w:t xml:space="preserve">Behaviour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bcode == "SA"</w:t>
      </w:r>
      <w:r>
        <w:rPr>
          <w:bCs/>
          <w:b/>
        </w:rPr>
        <w:t xml:space="preserve">:</w:t>
      </w:r>
      <w:r>
        <w:t xml:space="preserve"> </w:t>
      </w:r>
      <w:r>
        <w:t xml:space="preserve">reads a Fernet key from</w:t>
      </w:r>
      <w:r>
        <w:t xml:space="preserve"> </w:t>
      </w:r>
      <w:r>
        <w:rPr>
          <w:rStyle w:val="VerbatimChar"/>
        </w:rPr>
        <w:t xml:space="preserve">pbl_bnd_key.pem</w:t>
      </w:r>
      <w:r>
        <w:t xml:space="preserve">,</w:t>
      </w:r>
      <w:r>
        <w:t xml:space="preserve"> </w:t>
      </w:r>
      <w:r>
        <w:t xml:space="preserve">strips the first 2 and last 1 characters off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, decrypts the</w:t>
      </w:r>
      <w:r>
        <w:t xml:space="preserve"> </w:t>
      </w:r>
      <w:r>
        <w:t xml:space="preserve">remainder, and uses the decrypted value as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rPr>
          <w:bCs/>
          <w:b/>
        </w:rPr>
        <w:t xml:space="preserve">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bcode == "CA"</w:t>
      </w:r>
      <w:r>
        <w:rPr>
          <w:bCs/>
          <w:b/>
        </w:rPr>
        <w:t xml:space="preserve">: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directly by</w:t>
      </w:r>
      <w:r>
        <w:t xml:space="preserve"> </w:t>
      </w:r>
      <w:r>
        <w:rPr>
          <w:rStyle w:val="VerbatimChar"/>
        </w:rPr>
        <w:t xml:space="preserve">bundle_code=bundleid</w:t>
      </w:r>
      <w:r>
        <w:t xml:space="preserve"> </w:t>
      </w:r>
      <w:r>
        <w:t xml:space="preserve">(despite the field’s own name, this branch</w:t>
      </w:r>
      <w:r>
        <w:t xml:space="preserve"> </w:t>
      </w:r>
      <w:r>
        <w:t xml:space="preserve">treats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 </w:t>
      </w:r>
      <w:r>
        <w:t xml:space="preserve">as the bundle</w:t>
      </w:r>
      <w:r>
        <w:t xml:space="preserve"> </w:t>
      </w:r>
      <w:r>
        <w:rPr>
          <w:iCs/>
          <w:i/>
        </w:rPr>
        <w:t xml:space="preserve">code</w:t>
      </w:r>
      <w:r>
        <w:t xml:space="preserve">, not an id).</w:t>
      </w:r>
    </w:p>
    <w:p>
      <w:pPr>
        <w:numPr>
          <w:ilvl w:val="0"/>
          <w:numId w:val="1001"/>
        </w:numPr>
        <w:pStyle w:val="Compact"/>
      </w:pPr>
      <w:r>
        <w:t xml:space="preserve">Either way, once the bundle is resolved: fetches its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label,</w:t>
      </w:r>
      <w:r>
        <w:t xml:space="preserve"> </w:t>
      </w:r>
      <w:r>
        <w:t xml:space="preserve">its exam center’s college name (if the bundle has an exam center at</w:t>
      </w:r>
      <w:r>
        <w:t xml:space="preserve"> </w:t>
      </w:r>
      <w:r>
        <w:t xml:space="preserve">all — otherwise it’s treated as a</w:t>
      </w:r>
      <w:r>
        <w:t xml:space="preserve"> </w:t>
      </w:r>
      <w:r>
        <w:rPr>
          <w:rStyle w:val="VerbatimChar"/>
        </w:rPr>
        <w:t xml:space="preserve">UniversityBundle</w:t>
      </w:r>
      <w:r>
        <w:t xml:space="preserve">), the exam it</w:t>
      </w:r>
      <w:r>
        <w:t xml:space="preserve"> </w:t>
      </w:r>
      <w:r>
        <w:t xml:space="preserve">belongs to (via question paper → exam mapper → schedule), and the</w:t>
      </w:r>
      <w:r>
        <w:t xml:space="preserve"> </w:t>
      </w:r>
      <w:r>
        <w:t xml:space="preserve">list of candidates mapped to it (via bundle candidate mapper → digital</w:t>
      </w:r>
      <w:r>
        <w:t xml:space="preserve"> </w:t>
      </w:r>
      <w:r>
        <w:t xml:space="preserve">false number →</w:t>
      </w:r>
      <w:r>
        <w:t xml:space="preserve"> </w:t>
      </w:r>
      <w:r>
        <w:rPr>
          <w:rStyle w:val="VerbatimChar"/>
        </w:rPr>
        <w:t xml:space="preserve">created_by.username</w:t>
      </w:r>
      <w:r>
        <w:t xml:space="preserve">).</w:t>
      </w:r>
    </w:p>
    <w:bookmarkEnd w:id="24"/>
    <w:bookmarkStart w:id="25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BUNDLE_FETCH_SUCCESS_MSG&gt;"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"BND-042-01"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"No_of_Anshwer_Sheet"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"bundle_status"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"date_of_exam"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"examcode"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"APR2026UG"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"24MCA001"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"24MCA002"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"candidatecode_range"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"(24MCA001--24MCA002)"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"type_of_bundle"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"CollegeBundle"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"collage_name"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No_of_Anshwer_Sheet</w:t>
      </w:r>
      <w:r>
        <w:t xml:space="preserve"> </w:t>
      </w:r>
      <w:r>
        <w:t xml:space="preserve">(typo for</w:t>
      </w:r>
      <w:r>
        <w:t xml:space="preserve"> </w:t>
      </w:r>
      <w:r>
        <w:t xml:space="preserve">“</w:t>
      </w:r>
      <w:r>
        <w:t xml:space="preserve">Answer</w:t>
      </w:r>
      <w:r>
        <w:t xml:space="preserve">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collage_name</w:t>
      </w:r>
      <w:r>
        <w:t xml:space="preserve"> </w:t>
      </w:r>
      <w:r>
        <w:t xml:space="preserve">(typo for</w:t>
      </w:r>
      <w:r>
        <w:t xml:space="preserve"> </w:t>
      </w:r>
      <w:r>
        <w:t xml:space="preserve">“</w:t>
      </w:r>
      <w:r>
        <w:t xml:space="preserve">college</w:t>
      </w:r>
      <w:r>
        <w:t xml:space="preserve">”</w:t>
      </w:r>
      <w:r>
        <w:t xml:space="preserve">) — and that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here is a</w:t>
      </w:r>
      <w: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containing</w:t>
      </w:r>
      <w:r>
        <w:t xml:space="preserve"> </w:t>
      </w:r>
      <w:r>
        <w:t xml:space="preserve">one object, not an object directly, even though this endpoint only ever</w:t>
      </w:r>
      <w:r>
        <w:t xml:space="preserve"> </w:t>
      </w:r>
      <w:r>
        <w:t xml:space="preserve">resolves a single bundle per request.</w:t>
      </w:r>
      <w:r>
        <w:t xml:space="preserve"> </w:t>
      </w:r>
      <w:r>
        <w:rPr>
          <w:rStyle w:val="VerbatimChar"/>
        </w:rPr>
        <w:t xml:space="preserve">collage_name</w:t>
      </w:r>
      <w:r>
        <w:t xml:space="preserve"> </w:t>
      </w:r>
      <w:r>
        <w:t xml:space="preserve">is only present</w:t>
      </w:r>
      <w:r>
        <w:t xml:space="preserve"> </w:t>
      </w:r>
      <w:r>
        <w:rPr>
          <w:bCs/>
          <w:b/>
        </w:rPr>
        <w:t xml:space="preserve">for college bundles</w:t>
      </w:r>
      <w:r>
        <w:t xml:space="preserve"> </w:t>
      </w:r>
      <w:r>
        <w:t xml:space="preserve">— for a</w:t>
      </w:r>
      <w:r>
        <w:t xml:space="preserve"> </w:t>
      </w:r>
      <w:r>
        <w:rPr>
          <w:rStyle w:val="VerbatimChar"/>
        </w:rPr>
        <w:t xml:space="preserve">UniversityBundle</w:t>
      </w:r>
      <w:r>
        <w:t xml:space="preserve"> </w:t>
      </w:r>
      <w:r>
        <w:t xml:space="preserve">(no exam center),</w:t>
      </w:r>
      <w:r>
        <w:t xml:space="preserve"> </w:t>
      </w:r>
      <w:r>
        <w:t xml:space="preserve">the key is omitted from the response entirely, not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No_of_Anshwer_Sheet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Title_Case</w:t>
      </w:r>
      <w:r>
        <w:t xml:space="preserve">/</w:t>
      </w:r>
      <w:r>
        <w:rPr>
          <w:rStyle w:val="VerbatimChar"/>
        </w:rPr>
        <w:t xml:space="preserve">PascalCase</w:t>
      </w:r>
      <w:r>
        <w:t xml:space="preserve">-flavoured naming</w:t>
      </w:r>
      <w:r>
        <w:t xml:space="preserve"> </w:t>
      </w:r>
      <w:r>
        <w:t xml:space="preserve">matches the same unusual casing convention found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answercount.py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,</w:t>
      </w:r>
      <w:r>
        <w:t xml:space="preserve"> </w:t>
      </w:r>
      <w:r>
        <w:t xml:space="preserve">etc.) — both look like they came from the same original author or</w:t>
      </w:r>
      <w:r>
        <w:t xml:space="preserve"> </w:t>
      </w:r>
      <w:r>
        <w:t xml:space="preserve">template.</w:t>
      </w:r>
    </w:p>
    <w:bookmarkEnd w:id="25"/>
    <w:bookmarkStart w:id="26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Start w:id="27" w:name="Xbec29c307f61e7cb11a0719a4e25858cc610486"/>
    <w:p>
      <w:pPr>
        <w:pStyle w:val="Heading3"/>
      </w:pPr>
      <w:r>
        <w:t xml:space="preserve">Notes — please read before relying on this endpoint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Likely bug, same shape as several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-style issues</w:t>
      </w:r>
      <w:r>
        <w:rPr>
          <w:bCs/>
          <w:b/>
        </w:rPr>
        <w:t xml:space="preserve"> </w:t>
      </w:r>
      <w:r>
        <w:rPr>
          <w:bCs/>
          <w:b/>
        </w:rPr>
        <w:t xml:space="preserve">found across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academic</w:t>
      </w:r>
      <w:r>
        <w:rPr>
          <w:bCs/>
          <w:b/>
        </w:rP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bcode</w:t>
      </w:r>
      <w:r>
        <w:t xml:space="preserve"> </w:t>
      </w:r>
      <w:r>
        <w:t xml:space="preserve">is anything other than exactly</w:t>
      </w:r>
      <w:r>
        <w:t xml:space="preserve"> </w:t>
      </w:r>
      <w:r>
        <w:rPr>
          <w:rStyle w:val="VerbatimChar"/>
        </w:rPr>
        <w:t xml:space="preserve">"SA"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"CA"</w:t>
      </w:r>
      <w:r>
        <w:t xml:space="preserve"> </w:t>
      </w:r>
      <w:r>
        <w:t xml:space="preserve">— missing, blank, a typo, different casing —</w:t>
      </w:r>
      <w:r>
        <w:t xml:space="preserve"> </w:t>
      </w:r>
      <w:r>
        <w:t xml:space="preserve">neither branch runs,</w:t>
      </w:r>
      <w:r>
        <w:t xml:space="preserve"> </w:t>
      </w:r>
      <w:r>
        <w:rPr>
          <w:rStyle w:val="VerbatimChar"/>
        </w:rPr>
        <w:t xml:space="preserve">bundleobj</w:t>
      </w:r>
      <w:r>
        <w:t xml:space="preserve"> </w:t>
      </w:r>
      <w:r>
        <w:t xml:space="preserve">is never assigned, and the very next</w:t>
      </w:r>
      <w:r>
        <w:t xml:space="preserve"> </w:t>
      </w:r>
      <w:r>
        <w:t xml:space="preserve">line (</w:t>
      </w:r>
      <w:r>
        <w:rPr>
          <w:rStyle w:val="VerbatimChar"/>
        </w:rPr>
        <w:t xml:space="preserve">bundle_state = State.objects.get(id=bundleobj.status.id)</w:t>
      </w:r>
      <w:r>
        <w:t xml:space="preserve">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There’s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and no upfront</w:t>
      </w:r>
      <w:r>
        <w:t xml:space="preserve"> </w:t>
      </w:r>
      <w:r>
        <w:t xml:space="preserve">validation of</w:t>
      </w:r>
      <w:r>
        <w:t xml:space="preserve"> </w:t>
      </w:r>
      <w:r>
        <w:rPr>
          <w:rStyle w:val="VerbatimChar"/>
        </w:rPr>
        <w:t xml:space="preserve">bcode</w:t>
      </w:r>
      <w:r>
        <w:t xml:space="preserve">’s value.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 after either lookup.</w:t>
      </w:r>
      <w:r>
        <w:t xml:space="preserve"> </w:t>
      </w:r>
      <w:r>
        <w:t xml:space="preserve">Both branches use</w:t>
      </w:r>
      <w:r>
        <w:t xml:space="preserve"> </w:t>
      </w:r>
      <w:r>
        <w:rPr>
          <w:rStyle w:val="VerbatimChar"/>
        </w:rPr>
        <w:t xml:space="preserve">.filter(...).first()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no match. The very</w:t>
      </w:r>
      <w:r>
        <w:t xml:space="preserve"> </w:t>
      </w:r>
      <w:r>
        <w:t xml:space="preserve">next line dereferences</w:t>
      </w:r>
      <w:r>
        <w:t xml:space="preserve"> </w:t>
      </w:r>
      <w:r>
        <w:rPr>
          <w:rStyle w:val="VerbatimChar"/>
        </w:rPr>
        <w:t xml:space="preserve">bundleobj.status.id</w:t>
      </w:r>
      <w:r>
        <w:t xml:space="preserve"> </w:t>
      </w:r>
      <w:r>
        <w:t xml:space="preserve">unconditionally — an</w:t>
      </w:r>
      <w:r>
        <w:t xml:space="preserve"> </w:t>
      </w:r>
      <w:r>
        <w:t xml:space="preserve">unrecognized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/</w:t>
      </w:r>
      <w:r>
        <w:rPr>
          <w:rStyle w:val="VerbatimChar"/>
        </w:rPr>
        <w:t xml:space="preserve">bcode</w:t>
      </w:r>
      <w:r>
        <w:t xml:space="preserve"> </w:t>
      </w:r>
      <w:r>
        <w:t xml:space="preserve">combination crashes with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rather than a</w:t>
      </w:r>
      <w:r>
        <w:t xml:space="preserve"> </w:t>
      </w:r>
      <w:r>
        <w:t xml:space="preserve">“</w:t>
      </w:r>
      <w:r>
        <w:t xml:space="preserve">bundle 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empty-list check before indexing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candidate_details</w:t>
      </w:r>
      <w:r>
        <w:rPr>
          <w:bCs/>
          <w:b/>
        </w:rPr>
        <w:t xml:space="preserve">.</w:t>
      </w:r>
      <w:r>
        <w:t xml:space="preserve"> </w:t>
      </w:r>
      <w:r>
        <w:t xml:space="preserve">If the</w:t>
      </w:r>
      <w:r>
        <w:t xml:space="preserve"> </w:t>
      </w:r>
      <w:r>
        <w:t xml:space="preserve">bundle has no candidates mapped to it yet (a freshly created or</w:t>
      </w:r>
      <w:r>
        <w:t xml:space="preserve"> </w:t>
      </w:r>
      <w:r>
        <w:t xml:space="preserve">not-yet-distributed bundle looks like a very plausible case, not an</w:t>
      </w:r>
      <w:r>
        <w:t xml:space="preserve"> </w:t>
      </w:r>
      <w:r>
        <w:t xml:space="preserve">edge case),</w:t>
      </w:r>
      <w:r>
        <w:t xml:space="preserve"> </w:t>
      </w:r>
      <w:r>
        <w:rPr>
          <w:rStyle w:val="VerbatimChar"/>
        </w:rPr>
        <w:t xml:space="preserve">candidate_details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candidate_details[0]</w:t>
      </w:r>
      <w:r>
        <w:t xml:space="preserve">/</w:t>
      </w:r>
      <w:r>
        <w:rPr>
          <w:rStyle w:val="VerbatimChar"/>
        </w:rPr>
        <w:t xml:space="preserve">candidate_details[-1]</w:t>
      </w:r>
      <w:r>
        <w:t xml:space="preserve"> </w:t>
      </w:r>
      <w:r>
        <w:t xml:space="preserve">both raise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Likely bug in the Fernet key usage:</w:t>
      </w:r>
      <w:r>
        <w:t xml:space="preserve"> </w:t>
      </w:r>
      <w:r>
        <w:rPr>
          <w:rStyle w:val="VerbatimChar"/>
        </w:rPr>
        <w:t xml:space="preserve">Fernet(private_key)</w:t>
      </w:r>
      <w:r>
        <w:t xml:space="preserve"> </w:t>
      </w:r>
      <w:r>
        <w:t xml:space="preserve">is</w:t>
      </w:r>
      <w:r>
        <w:t xml:space="preserve"> </w:t>
      </w:r>
      <w:r>
        <w:t xml:space="preserve">called with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 </w:t>
      </w:r>
      <w:r>
        <w:t xml:space="preserve">as a plain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(read via</w:t>
      </w:r>
      <w:r>
        <w:t xml:space="preserve"> </w:t>
      </w:r>
      <w:r>
        <w:rPr>
          <w:rStyle w:val="VerbatimChar"/>
        </w:rPr>
        <w:t xml:space="preserve">open(...,   "r")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library’s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 </w:t>
      </w:r>
      <w:r>
        <w:t xml:space="preserve">constructor expects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str</w:t>
      </w:r>
      <w:r>
        <w:t xml:space="preserve">. Compare with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readmission.py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mark_encryption()</w:t>
      </w:r>
      <w:r>
        <w:t xml:space="preserve"> </w:t>
      </w:r>
      <w:r>
        <w:t xml:space="preserve">does call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 </w:t>
      </w:r>
      <w:r>
        <w:t xml:space="preserve">on</w:t>
      </w:r>
      <w:r>
        <w:t xml:space="preserve"> </w:t>
      </w:r>
      <w:r>
        <w:t xml:space="preserve">its own key material (though that function has a different problem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re-admission.md</w:t>
      </w:r>
      <w:r>
        <w:t xml:space="preserve">). If this constructor genuinely requires</w:t>
      </w:r>
      <w:r>
        <w:t xml:space="preserve"> </w:t>
      </w:r>
      <w:r>
        <w:t xml:space="preserve">bytes, every</w:t>
      </w:r>
      <w:r>
        <w:t xml:space="preserve"> </w:t>
      </w:r>
      <w:r>
        <w:rPr>
          <w:rStyle w:val="VerbatimChar"/>
        </w:rPr>
        <w:t xml:space="preserve">"SA"</w:t>
      </w:r>
      <w:r>
        <w:t xml:space="preserve">-mode request here would fail before it even gets</w:t>
      </w:r>
      <w:r>
        <w:t xml:space="preserve"> </w:t>
      </w:r>
      <w:r>
        <w:t xml:space="preserve">to decrypting anything.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Fernet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logging</w:t>
      </w:r>
      <w:r>
        <w:rPr>
          <w:bCs/>
          <w:b/>
        </w:rPr>
        <w:t xml:space="preserve"> </w:t>
      </w:r>
      <w:r>
        <w:rPr>
          <w:bCs/>
          <w:b/>
        </w:rPr>
        <w:t xml:space="preserve">are both used in this file without being</w:t>
      </w:r>
      <w:r>
        <w:rPr>
          <w:bCs/>
          <w:b/>
        </w:rPr>
        <w:t xml:space="preserve"> </w:t>
      </w:r>
      <w:r>
        <w:rPr>
          <w:bCs/>
          <w:b/>
        </w:rPr>
        <w:t xml:space="preserve">directly imported.</w:t>
      </w:r>
      <w:r>
        <w:t xml:space="preserve"> </w:t>
      </w:r>
      <w:r>
        <w:t xml:space="preserve">This file’s own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block doesn’t include</w:t>
      </w:r>
      <w:r>
        <w:t xml:space="preserve"> </w:t>
      </w:r>
      <w:r>
        <w:rPr>
          <w:rStyle w:val="VerbatimChar"/>
        </w:rPr>
        <w:t xml:space="preserve">from cryptography.fernet import Fernet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import logging</w:t>
      </w:r>
      <w:r>
        <w:t xml:space="preserve"> </w:t>
      </w:r>
      <w:r>
        <w:t xml:space="preserve">— both</w:t>
      </w:r>
      <w:r>
        <w:t xml:space="preserve"> </w:t>
      </w:r>
      <w:r>
        <w:t xml:space="preserve">names must be reaching this module through one of the wildcard</w:t>
      </w:r>
      <w:r>
        <w:t xml:space="preserve"> </w:t>
      </w:r>
      <w:r>
        <w:t xml:space="preserve">imports (</w:t>
      </w:r>
      <w:r>
        <w:rPr>
          <w:rStyle w:val="VerbatimChar"/>
        </w:rPr>
        <w:t xml:space="preserve">util.models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util.pagination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camp_mgmt.serializers</w:t>
      </w:r>
      <w:r>
        <w:t xml:space="preserve">). Since</w:t>
      </w:r>
      <w:r>
        <w:t xml:space="preserve"> </w:t>
      </w:r>
      <w:r>
        <w:rPr>
          <w:rStyle w:val="VerbatimChar"/>
        </w:rPr>
        <w:t xml:space="preserve">logger =   logging.getLogger(__name__)</w:t>
      </w:r>
      <w:r>
        <w:t xml:space="preserve"> </w:t>
      </w:r>
      <w:r>
        <w:t xml:space="preserve">runs at</w:t>
      </w:r>
      <w:r>
        <w:t xml:space="preserve"> </w:t>
      </w:r>
      <w:r>
        <w:rPr>
          <w:bCs/>
          <w:b/>
        </w:rPr>
        <w:t xml:space="preserve">module import time</w:t>
      </w:r>
      <w:r>
        <w:t xml:space="preserve">, if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weren’t actually reachable this way, the whole file would</w:t>
      </w:r>
      <w:r>
        <w:t xml:space="preserve"> </w:t>
      </w:r>
      <w:r>
        <w:t xml:space="preserve">fail to load — so it evidently is, but it’s worth knowing this file</w:t>
      </w:r>
      <w:r>
        <w:t xml:space="preserve"> </w:t>
      </w:r>
      <w:r>
        <w:t xml:space="preserve">depends on a name it never imports itself if you ever refactor those</w:t>
      </w:r>
      <w:r>
        <w:t xml:space="preserve"> </w:t>
      </w:r>
      <w:r>
        <w:t xml:space="preserve">wildcard imports away.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bundleidval[2:lenth]</w:t>
      </w:r>
      <w:r>
        <w:t xml:space="preserve"> </w:t>
      </w:r>
      <w:r>
        <w:t xml:space="preserve">slicing (dropping a fixed 2-character</w:t>
      </w:r>
      <w:r>
        <w:t xml:space="preserve"> </w:t>
      </w:r>
      <w:r>
        <w:t xml:space="preserve">prefix and 1-character suffix before decrypting) assumes a very</w:t>
      </w:r>
      <w:r>
        <w:t xml:space="preserve"> </w:t>
      </w:r>
      <w:r>
        <w:t xml:space="preserve">specific wrapping format for the incoming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 </w:t>
      </w:r>
      <w:r>
        <w:t xml:space="preserve">string — the</w:t>
      </w:r>
      <w:r>
        <w:t xml:space="preserve"> </w:t>
      </w:r>
      <w:r>
        <w:t xml:space="preserve">same fixed-position-string-parsing pattern flagged in several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files (candidate/exam code slicing). If the client ever</w:t>
      </w:r>
      <w:r>
        <w:t xml:space="preserve"> </w:t>
      </w:r>
      <w:r>
        <w:t xml:space="preserve">sends the token without that exact wrapper, decryption fails with no</w:t>
      </w:r>
      <w:r>
        <w:t xml:space="preserve"> </w:t>
      </w:r>
      <w:r>
        <w:t xml:space="preserve">specific error message pointing at why.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2026-08-06T10:26:31Z</dcterms:created>
  <dcterms:modified xsi:type="dcterms:W3CDTF">2026-08-06T10:26:31Z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