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2F5496"/>
          <w:sz w:val="56"/>
          <w:szCs w:val="56"/>
        </w:rPr>
        <w:t xml:space="preserve">External Teacher Allocation API</w:t>
      </w:r>
    </w:p>
    <w:p>
      <w:pPr>
        <w:spacing w:after="40"/>
      </w:pPr>
      <w:r>
        <w:rPr>
          <w:rFonts w:ascii="Calibri" w:cs="Calibri" w:eastAsia="Calibri" w:hAnsi="Calibri"/>
          <w:color w:val="595959"/>
          <w:sz w:val="28"/>
          <w:szCs w:val="28"/>
        </w:rPr>
        <w:t xml:space="preserve">exttchallocation.py — API Reference</w:t>
      </w:r>
    </w:p>
    <w:p>
      <w:pPr>
        <w:spacing w:after="40"/>
      </w:pPr>
      <w:r>
        <w:rPr>
          <w:rFonts w:ascii="Calibri" w:cs="Calibri" w:eastAsia="Calibri" w:hAnsi="Calibri"/>
          <w:i/>
          <w:iCs/>
          <w:color w:val="808080"/>
          <w:sz w:val="20"/>
          <w:szCs w:val="20"/>
        </w:rPr>
        <w:t xml:space="preserve">Module: the teacher-level tier of the external-examiner hierarchy — district/college/programme/course browsing culminating in allocating a specific teacher to a specific college/programme/semester/course.</w:t>
      </w:r>
    </w:p>
    <w:p>
      <w:pPr>
        <w:pBdr>
          <w:bottom w:val="single" w:color="2F5496" w:sz="6"/>
        </w:pBdr>
        <w:spacing w:after="400"/>
      </w:pPr>
      <w:r>
        <w:rPr>
          <w:rFonts w:ascii="Calibri" w:cs="Calibri" w:eastAsia="Calibri" w:hAnsi="Calibri"/>
          <w:color w:val="808080"/>
          <w:sz w:val="20"/>
          <w:szCs w:val="20"/>
        </w:rPr>
        <w:t xml:space="preserve">Base classes: rest_framework.views.APIView   ·   No explicit permission_classes set on any view.</w:t>
      </w:r>
    </w:p>
    <w:p>
      <w:pPr>
        <w:pStyle w:val="Heading1"/>
        <w:spacing w:after="120" w:before="240"/>
      </w:pPr>
      <w:r>
        <w:t xml:space="preserve">1. ExtDistrictList</w:t>
      </w:r>
    </w:p>
    <w:p>
      <w:pPr>
        <w:pStyle w:val="Heading2"/>
        <w:spacing w:after="120" w:before="240"/>
      </w:pPr>
      <w:r>
        <w:t xml:space="preserve">GET</w:t>
      </w:r>
    </w:p>
    <w:p>
      <w:pPr>
        <w:spacing w:after="120"/>
      </w:pPr>
      <w:r>
        <w:rPr>
          <w:rFonts w:ascii="Calibri" w:cs="Calibri" w:eastAsia="Calibri" w:hAnsi="Calibri"/>
        </w:rPr>
        <w:t xml:space="preserve">Returns a fixed set of districts, all semester ids, and all admission years, for the allocation form's reference dropdowns.</w:t>
      </w:r>
    </w:p>
    <w:p>
      <w:pPr>
        <w:spacing w:after="120"/>
      </w:pPr>
      <w:r>
        <w:rPr>
          <w:rFonts w:ascii="Calibri" w:cs="Calibri" w:eastAsia="Calibri" w:hAnsi="Calibri"/>
        </w:rPr>
        <w:t xml:space="preserve">Response: { district, semlist, batchlist } · status 200.</w:t>
      </w:r>
    </w:p>
    <w:p>
      <w:pPr>
        <w:pBdr>
          <w:left w:val="single" w:color="C00000" w:sz="12"/>
        </w:pBdr>
        <w:shd w:fill="FDE7E7" w:val="clear"/>
        <w:spacing w:after="200" w:before="80"/>
        <w:ind w:left="120"/>
      </w:pPr>
      <w:r>
        <w:rPr>
          <w:rFonts w:ascii="Calibri" w:cs="Calibri" w:eastAsia="Calibri" w:hAnsi="Calibri"/>
          <w:i/>
          <w:iCs/>
          <w:sz w:val="20"/>
          <w:szCs w:val="20"/>
        </w:rPr>
        <w:t xml:space="preserve">District.objects.filter(id__in=[1, 2, 3, 4]) hardcodes a 4-district whitelist with no named constant or comment explaining why only these four (of presumably many more) districts are offered for external teacher allocation.</w:t>
      </w:r>
    </w:p>
    <w:p>
      <w:pPr>
        <w:pStyle w:val="Heading2"/>
        <w:spacing w:after="120" w:before="240"/>
      </w:pPr>
      <w:r>
        <w:t xml:space="preserve">POST</w:t>
      </w:r>
    </w:p>
    <w:p>
      <w:pPr>
        <w:spacing w:after="120"/>
      </w:pPr>
      <w:r>
        <w:rPr>
          <w:rFonts w:ascii="Calibri" w:cs="Calibri" w:eastAsia="Calibri" w:hAnsi="Calibri"/>
        </w:rPr>
        <w:t xml:space="preserve">Returns the colleges within a named district.</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4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dist_type</w:t>
            </w:r>
          </w:p>
        </w:tc>
        <w:tc>
          <w:tcPr>
            <w:tcW w:type="dxa" w:w="4200"/>
          </w:tcPr>
          <w:p>
            <w:r>
              <w:rPr>
                <w:rFonts w:ascii="Calibri" w:cs="Calibri" w:eastAsia="Calibri" w:hAnsi="Calibri"/>
                <w:sz w:val="20"/>
                <w:szCs w:val="20"/>
              </w:rPr>
              <w:t xml:space="preserve">Yes — matched against District.title</w:t>
            </w:r>
          </w:p>
        </w:tc>
      </w:tr>
    </w:tbl>
    <w:p>
      <w:pPr>
        <w:spacing w:after="100"/>
      </w:pPr>
    </w:p>
    <w:p>
      <w:pPr>
        <w:spacing w:after="120"/>
      </w:pPr>
      <w:r>
        <w:rPr>
          <w:rFonts w:ascii="Calibri" w:cs="Calibri" w:eastAsia="Calibri" w:hAnsi="Calibri"/>
        </w:rPr>
        <w:t xml:space="preserve">Response: { collglist } · status 201.</w:t>
      </w:r>
    </w:p>
    <w:p>
      <w:pPr>
        <w:pBdr>
          <w:left w:val="single" w:color="C00000" w:sz="12"/>
        </w:pBdr>
        <w:shd w:fill="FDE7E7" w:val="clear"/>
        <w:spacing w:after="200" w:before="80"/>
        <w:ind w:left="120"/>
      </w:pPr>
      <w:r>
        <w:rPr>
          <w:rFonts w:ascii="Calibri" w:cs="Calibri" w:eastAsia="Calibri" w:hAnsi="Calibri"/>
          <w:i/>
          <w:iCs/>
          <w:sz w:val="20"/>
          <w:szCs w:val="20"/>
        </w:rPr>
        <w:t xml:space="preserve">distobj = District.objects.filter(title=dist).first() is dereferenced (distobj.id) with no None-check — an unrecognized district title raises AttributeError. Several stray print() debug statements remain throughout.</w:t>
      </w:r>
    </w:p>
    <w:p>
      <w:pPr>
        <w:pStyle w:val="Heading1"/>
        <w:spacing w:after="120" w:before="240"/>
      </w:pPr>
      <w:r>
        <w:t xml:space="preserve">2. ExtProgrammeList</w:t>
      </w:r>
    </w:p>
    <w:p>
      <w:pPr>
        <w:pStyle w:val="Heading2"/>
        <w:spacing w:after="120" w:before="240"/>
      </w:pPr>
      <w:r>
        <w:t xml:space="preserve">POST</w:t>
      </w:r>
    </w:p>
    <w:p>
      <w:pPr>
        <w:spacing w:after="120"/>
      </w:pPr>
      <w:r>
        <w:rPr>
          <w:rFonts w:ascii="Calibri" w:cs="Calibri" w:eastAsia="Calibri" w:hAnsi="Calibri"/>
        </w:rPr>
        <w:t xml:space="preserve">Returns the teachers already externally allocated to a college (status 81) and the programmes offered there.</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3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college</w:t>
            </w:r>
          </w:p>
        </w:tc>
        <w:tc>
          <w:tcPr>
            <w:tcW w:type="dxa" w:w="3200"/>
          </w:tcPr>
          <w:p>
            <w:r>
              <w:rPr>
                <w:rFonts w:ascii="Calibri" w:cs="Calibri" w:eastAsia="Calibri" w:hAnsi="Calibri"/>
                <w:sz w:val="20"/>
                <w:szCs w:val="20"/>
              </w:rPr>
              <w:t xml:space="preserve">Yes</w:t>
            </w:r>
          </w:p>
        </w:tc>
      </w:tr>
    </w:tbl>
    <w:p>
      <w:pPr>
        <w:spacing w:after="100"/>
      </w:pPr>
    </w:p>
    <w:p>
      <w:pPr>
        <w:spacing w:after="120"/>
      </w:pPr>
      <w:r>
        <w:rPr>
          <w:rFonts w:ascii="Calibri" w:cs="Calibri" w:eastAsia="Calibri" w:hAnsi="Calibri"/>
        </w:rPr>
        <w:t xml:space="preserve">Response: { prglist, userobj } · status 201.</w:t>
      </w:r>
    </w:p>
    <w:p>
      <w:pPr>
        <w:pBdr>
          <w:left w:val="single" w:color="C00000" w:sz="12"/>
        </w:pBdr>
        <w:shd w:fill="FDE7E7" w:val="clear"/>
        <w:spacing w:after="200" w:before="80"/>
        <w:ind w:left="120"/>
      </w:pPr>
      <w:r>
        <w:rPr>
          <w:rFonts w:ascii="Calibri" w:cs="Calibri" w:eastAsia="Calibri" w:hAnsi="Calibri"/>
          <w:i/>
          <w:iCs/>
          <w:sz w:val="20"/>
          <w:szCs w:val="20"/>
        </w:rPr>
        <w:t xml:space="preserve">prglist is built by appending prg_id and prgname alternately into the SAME flat list (prglist.append(prg_id); prglist.append(prgname)) rather than pairing them into objects — a consumer has to know to unpack this list two items at a time to recover id/name pairs, rather than receiving a clean list of { id, name } objects the way most other responses in this codebase are shaped.</w:t>
      </w:r>
    </w:p>
    <w:p>
      <w:pPr>
        <w:spacing w:after="120"/>
      </w:pPr>
      <w:r>
        <w:rPr>
          <w:rFonts w:ascii="Calibri" w:cs="Calibri" w:eastAsia="Calibri" w:hAnsi="Calibri"/>
          <w:i/>
          <w:iCs/>
        </w:rPr>
        <w:t xml:space="preserve">The except block returns a raw DRF Response(...) instead of format_response(...) — the only view in this file that does so.</w:t>
      </w:r>
    </w:p>
    <w:p>
      <w:pPr>
        <w:pStyle w:val="Heading1"/>
        <w:spacing w:after="120" w:before="240"/>
      </w:pPr>
      <w:r>
        <w:t xml:space="preserve">3. ExternalSchemes</w:t>
      </w:r>
    </w:p>
    <w:p>
      <w:pPr>
        <w:pStyle w:val="Heading2"/>
        <w:spacing w:after="120" w:before="240"/>
      </w:pPr>
      <w:r>
        <w:t xml:space="preserve">POST</w:t>
      </w:r>
    </w:p>
    <w:p>
      <w:pPr>
        <w:spacing w:after="120"/>
      </w:pPr>
      <w:r>
        <w:rPr>
          <w:rFonts w:ascii="Calibri" w:cs="Calibri" w:eastAsia="Calibri" w:hAnsi="Calibri"/>
        </w:rPr>
        <w:t xml:space="preserve">Returns the schemes and semesters registered for a programme.</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3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programme_id</w:t>
            </w:r>
          </w:p>
        </w:tc>
        <w:tc>
          <w:tcPr>
            <w:tcW w:type="dxa" w:w="3200"/>
          </w:tcPr>
          <w:p>
            <w:r>
              <w:rPr>
                <w:rFonts w:ascii="Calibri" w:cs="Calibri" w:eastAsia="Calibri" w:hAnsi="Calibri"/>
                <w:sz w:val="20"/>
                <w:szCs w:val="20"/>
              </w:rPr>
              <w:t xml:space="preserve">Yes</w:t>
            </w:r>
          </w:p>
        </w:tc>
      </w:tr>
    </w:tbl>
    <w:p>
      <w:pPr>
        <w:spacing w:after="120"/>
      </w:pPr>
      <w:r>
        <w:rPr>
          <w:rFonts w:ascii="Calibri" w:cs="Calibri" w:eastAsia="Calibri" w:hAnsi="Calibri"/>
        </w:rPr>
        <w:t xml:space="preserve">Response: { schemes, semesters } · status 200.</w:t>
      </w:r>
    </w:p>
    <w:p>
      <w:pPr>
        <w:pStyle w:val="Heading1"/>
        <w:spacing w:after="120" w:before="240"/>
      </w:pPr>
      <w:r>
        <w:t xml:space="preserve">4. TeacherFetch</w:t>
      </w:r>
    </w:p>
    <w:p>
      <w:pPr>
        <w:pStyle w:val="Heading2"/>
        <w:spacing w:after="120" w:before="240"/>
      </w:pPr>
      <w:r>
        <w:t xml:space="preserve">POST</w:t>
      </w:r>
    </w:p>
    <w:p>
      <w:pPr>
        <w:spacing w:after="120"/>
      </w:pPr>
      <w:r>
        <w:rPr>
          <w:rFonts w:ascii="Calibri" w:cs="Calibri" w:eastAsia="Calibri" w:hAnsi="Calibri"/>
        </w:rPr>
        <w:t xml:space="preserve">Looks up a teacher by email or beneficiary id and returns their name, email, and college.</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3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search_id</w:t>
            </w:r>
          </w:p>
        </w:tc>
        <w:tc>
          <w:tcPr>
            <w:tcW w:type="dxa" w:w="3200"/>
          </w:tcPr>
          <w:p>
            <w:r>
              <w:rPr>
                <w:rFonts w:ascii="Calibri" w:cs="Calibri" w:eastAsia="Calibri" w:hAnsi="Calibri"/>
                <w:sz w:val="20"/>
                <w:szCs w:val="20"/>
              </w:rPr>
              <w:t xml:space="preserve">Yes</w:t>
            </w:r>
          </w:p>
        </w:tc>
      </w:tr>
    </w:tbl>
    <w:p>
      <w:pPr>
        <w:spacing w:after="100"/>
      </w:pPr>
    </w:p>
    <w:p>
      <w:pPr>
        <w:pBdr>
          <w:top w:val="single" w:color="C00000" w:sz="6"/>
          <w:bottom w:val="single" w:color="C00000" w:sz="6"/>
          <w:left w:val="single" w:color="C00000" w:sz="20"/>
          <w:right w:val="single" w:color="C00000" w:sz="6"/>
        </w:pBdr>
        <w:shd w:fill="FDE7E7" w:val="clear"/>
        <w:spacing w:after="200" w:before="100"/>
        <w:ind w:left="120"/>
      </w:pPr>
      <w:r>
        <w:rPr>
          <w:rFonts w:ascii="Calibri" w:cs="Calibri" w:eastAsia="Calibri" w:hAnsi="Calibri"/>
          <w:b/>
          <w:bCs/>
          <w:color w:val="C00000"/>
          <w:sz w:val="20"/>
          <w:szCs w:val="20"/>
        </w:rPr>
        <w:t xml:space="preserve">Shares the same unguarded beneficiary-id lookup (usernameobj.user_id dereferenced with no None-check) documented across extcordchairmanallocation.py and extzonechairmanallocation.py — this is at least the third file in the external-allocation feature with an identical copy of this bug. A search_id that isn't a real email or beneficiary id raises AttributeError here too.</w:t>
      </w:r>
    </w:p>
    <w:p>
      <w:pPr>
        <w:spacing w:after="120"/>
      </w:pPr>
      <w:r>
        <w:rPr>
          <w:rFonts w:ascii="Calibri" w:cs="Calibri" w:eastAsia="Calibri" w:hAnsi="Calibri"/>
        </w:rPr>
        <w:t xml:space="preserve">The not-found and exception branches here use plain DRF Response({...}, status=...) rather than format_response(...) — at least these use the correct status.HTTP_NOT_FOUND... actually note: status.HTTP_NOT_FOUND does not exist in DRF (only HTTP_404_NOT_FOUND does) — so this line has the same non-existent-attribute problem as the equivalent lines in extcordchairmanallocation.py and extzonechairmanallocation.py, and will raise AttributeError instead of returning the intended 404.</w:t>
      </w:r>
    </w:p>
    <w:p>
      <w:pPr>
        <w:pStyle w:val="Heading1"/>
        <w:spacing w:after="120" w:before="240"/>
      </w:pPr>
      <w:r>
        <w:t xml:space="preserve">5. ExtcoursesList</w:t>
      </w:r>
    </w:p>
    <w:p>
      <w:pPr>
        <w:pStyle w:val="Heading2"/>
        <w:spacing w:after="120" w:before="240"/>
      </w:pPr>
      <w:r>
        <w:t xml:space="preserve">POST</w:t>
      </w:r>
    </w:p>
    <w:p>
      <w:pPr>
        <w:spacing w:after="120"/>
      </w:pPr>
      <w:r>
        <w:rPr>
          <w:rFonts w:ascii="Calibri" w:cs="Calibri" w:eastAsia="Calibri" w:hAnsi="Calibri"/>
        </w:rPr>
        <w:t xml:space="preserve">Returns the courses under a programme/semester that have an associated Commissioncors (commission course) mapping.</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4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sem_id, programme_id</w:t>
            </w:r>
          </w:p>
        </w:tc>
        <w:tc>
          <w:tcPr>
            <w:tcW w:type="dxa" w:w="4200"/>
          </w:tcPr>
          <w:p>
            <w:r>
              <w:rPr>
                <w:rFonts w:ascii="Calibri" w:cs="Calibri" w:eastAsia="Calibri" w:hAnsi="Calibri"/>
                <w:sz w:val="20"/>
                <w:szCs w:val="20"/>
              </w:rPr>
              <w:t xml:space="preserve">Yes</w:t>
            </w:r>
          </w:p>
        </w:tc>
      </w:tr>
    </w:tbl>
    <w:p>
      <w:pPr>
        <w:spacing w:after="100"/>
      </w:pPr>
    </w:p>
    <w:p>
      <w:pPr>
        <w:spacing w:after="120"/>
      </w:pPr>
      <w:r>
        <w:rPr>
          <w:rFonts w:ascii="Calibri" w:cs="Calibri" w:eastAsia="Calibri" w:hAnsi="Calibri"/>
        </w:rPr>
        <w:t xml:space="preserve">Response: { course, prg_sem_id } · status 200.</w:t>
      </w:r>
    </w:p>
    <w:p>
      <w:pPr>
        <w:pBdr>
          <w:left w:val="single" w:color="C00000" w:sz="12"/>
        </w:pBdr>
        <w:shd w:fill="FDE7E7" w:val="clear"/>
        <w:spacing w:after="200" w:before="80"/>
        <w:ind w:left="120"/>
      </w:pPr>
      <w:r>
        <w:rPr>
          <w:rFonts w:ascii="Calibri" w:cs="Calibri" w:eastAsia="Calibri" w:hAnsi="Calibri"/>
          <w:i/>
          <w:iCs/>
          <w:sz w:val="20"/>
          <w:szCs w:val="20"/>
        </w:rPr>
        <w:t xml:space="preserve">prg_sem_id = ProgrammeSemester.objects.filter(...).first().id is dereferenced with no None-check — an unmatched programme/semester combination raises AttributeError.</w:t>
      </w:r>
    </w:p>
    <w:p>
      <w:pPr>
        <w:pBdr>
          <w:left w:val="single" w:color="E8B923" w:sz="12"/>
        </w:pBdr>
        <w:shd w:fill="FFF6DA" w:val="clear"/>
        <w:spacing w:after="200" w:before="80"/>
        <w:ind w:left="120"/>
      </w:pPr>
      <w:r>
        <w:rPr>
          <w:rFonts w:ascii="Calibri" w:cs="Calibri" w:eastAsia="Calibri" w:hAnsi="Calibri"/>
          <w:i/>
          <w:iCs/>
          <w:sz w:val="20"/>
          <w:szCs w:val="20"/>
        </w:rPr>
        <w:t xml:space="preserve">A commented-out de-duplication line carries its own inline admission: "commented b'coz dont know the purpose of this line of code" — a sign this logic was carried forward from elsewhere without the original author's reasoning being preserved.</w:t>
      </w:r>
    </w:p>
    <w:p>
      <w:pPr>
        <w:pStyle w:val="Heading1"/>
        <w:spacing w:after="120" w:before="240"/>
      </w:pPr>
      <w:r>
        <w:t xml:space="preserve">6. ExtProgramAllocation</w:t>
      </w:r>
    </w:p>
    <w:p>
      <w:pPr>
        <w:pStyle w:val="Heading2"/>
        <w:spacing w:after="120" w:before="240"/>
      </w:pPr>
      <w:r>
        <w:t xml:space="preserve">POST</w:t>
      </w:r>
    </w:p>
    <w:p>
      <w:pPr>
        <w:spacing w:after="120"/>
      </w:pPr>
      <w:r>
        <w:rPr>
          <w:rFonts w:ascii="Calibri" w:cs="Calibri" w:eastAsia="Calibri" w:hAnsi="Calibri"/>
        </w:rPr>
        <w:t xml:space="preserve">The core teacher-allocation action: resolves a specific college/programme/semester/course/admission-year/zone combination down to a single CollegeBatchProgrammeSemester and ProgrammeCourseSemester, then allocates the named teacher to it if not already allocated.</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4400"/>
      </w:tblGrid>
      <w:tr>
        <w:trPr>
          <w:tblHeader/>
        </w:trPr>
        <w:tc>
          <w:tcPr>
            <w:tcW w:type="dxa" w:w="2400"/>
            <w:shd w:fill="2F5496" w:val="clear"/>
          </w:tcPr>
          <w:p>
            <w:r>
              <w:rPr>
                <w:rFonts w:ascii="Calibri" w:cs="Calibri" w:eastAsia="Calibri" w:hAnsi="Calibri"/>
                <w:b/>
                <w:bCs/>
                <w:color w:val="FFFFFF"/>
                <w:sz w:val="20"/>
                <w:szCs w:val="20"/>
              </w:rPr>
              <w:t xml:space="preserve">Field</w:t>
            </w:r>
          </w:p>
        </w:tc>
        <w:tc>
          <w:tcPr>
            <w:tcW w:type="dxa" w:w="1200"/>
            <w:shd w:fill="2F5496" w:val="clear"/>
          </w:tcPr>
          <w:p>
            <w:r>
              <w:rPr>
                <w:rFonts w:ascii="Calibri" w:cs="Calibri" w:eastAsia="Calibri" w:hAnsi="Calibri"/>
                <w:b/>
                <w:bCs/>
                <w:color w:val="FFFFFF"/>
                <w:sz w:val="20"/>
                <w:szCs w:val="20"/>
              </w:rPr>
              <w:t xml:space="preserve">Required</w:t>
            </w:r>
          </w:p>
        </w:tc>
        <w:tc>
          <w:tcPr>
            <w:tcW w:type="dxa" w:w="4400"/>
            <w:shd w:fill="2F5496" w:val="clear"/>
          </w:tcPr>
          <w:p>
            <w:r>
              <w:rPr>
                <w:rFonts w:ascii="Calibri" w:cs="Calibri" w:eastAsia="Calibri" w:hAnsi="Calibri"/>
                <w:b/>
                <w:bCs/>
                <w:color w:val="FFFFFF"/>
                <w:sz w:val="20"/>
                <w:szCs w:val="20"/>
              </w:rPr>
              <w:t xml:space="preserve">Notes</w:t>
            </w:r>
          </w:p>
        </w:tc>
      </w:tr>
      <w:tr>
        <w:tc>
          <w:tcPr>
            <w:tcW w:type="dxa" w:w="2400"/>
          </w:tcPr>
          <w:p>
            <w:r>
              <w:rPr>
                <w:rFonts w:ascii="Calibri" w:cs="Calibri" w:eastAsia="Calibri" w:hAnsi="Calibri"/>
                <w:sz w:val="20"/>
                <w:szCs w:val="20"/>
              </w:rPr>
              <w:t xml:space="preserve">coll_id, sem_id, prg_id, cors_id, admid, zoneid, search_id</w:t>
            </w:r>
          </w:p>
        </w:tc>
        <w:tc>
          <w:tcPr>
            <w:tcW w:type="dxa" w:w="1200"/>
          </w:tcPr>
          <w:p>
            <w:r>
              <w:rPr>
                <w:rFonts w:ascii="Calibri" w:cs="Calibri" w:eastAsia="Calibri" w:hAnsi="Calibri"/>
                <w:sz w:val="20"/>
                <w:szCs w:val="20"/>
              </w:rPr>
              <w:t xml:space="preserve">Yes</w:t>
            </w:r>
          </w:p>
        </w:tc>
        <w:tc>
          <w:tcPr>
            <w:tcW w:type="dxa" w:w="4400"/>
          </w:tcPr>
          <w:p>
            <w:r>
              <w:rPr>
                <w:rFonts w:ascii="Calibri" w:cs="Calibri" w:eastAsia="Calibri" w:hAnsi="Calibri"/>
                <w:sz w:val="20"/>
                <w:szCs w:val="20"/>
              </w:rPr>
              <w:t xml:space="preserve">search_id resolves the teacher by email or beneficiary id</w:t>
            </w:r>
          </w:p>
        </w:tc>
      </w:tr>
    </w:tbl>
    <w:p>
      <w:pPr>
        <w:spacing w:after="100"/>
      </w:pPr>
    </w:p>
    <w:p>
      <w:pPr>
        <w:pBdr>
          <w:top w:val="single" w:color="C00000" w:sz="6"/>
          <w:bottom w:val="single" w:color="C00000" w:sz="6"/>
          <w:left w:val="single" w:color="C00000" w:sz="20"/>
          <w:right w:val="single" w:color="C00000" w:sz="6"/>
        </w:pBdr>
        <w:shd w:fill="FDE7E7" w:val="clear"/>
        <w:spacing w:after="200" w:before="100"/>
        <w:ind w:left="120"/>
      </w:pPr>
      <w:r>
        <w:rPr>
          <w:rFonts w:ascii="Calibri" w:cs="Calibri" w:eastAsia="Calibri" w:hAnsi="Calibri"/>
          <w:b/>
          <w:bCs/>
          <w:color w:val="C00000"/>
          <w:sz w:val="20"/>
          <w:szCs w:val="20"/>
        </w:rPr>
        <w:t xml:space="preserve">This method chains EIGHT sequential .filter(...).first() lookups (admobj → batchid → the college-department loop → colprgid → prg_sem_id → colbatchid → colbatchsemid → prg_cors_obj → exttchobj), and NONE of the intermediate results are None-checked before the next lookup dereferences them. Given how many independently-supplied ids feed this chain (coll_id, sem_id, prg_id, cors_id, admid all come directly from the request), a mismatch anywhere — an admission year with no matching Batch, a college with no CollegeBatchProgramme for this programme, a semester with no course-semester mapping — raises AttributeError at whichever step breaks, surfacing only as a generic BAD_GATEWAY with no indication of which of the eight lookups actually failed. This is one of the most fragile single methods across the whole external-allocation feature.</w:t>
      </w:r>
    </w:p>
    <w:p>
      <w:pPr>
        <w:pBdr>
          <w:top w:val="single" w:color="C00000" w:sz="6"/>
          <w:bottom w:val="single" w:color="C00000" w:sz="6"/>
          <w:left w:val="single" w:color="C00000" w:sz="20"/>
          <w:right w:val="single" w:color="C00000" w:sz="6"/>
        </w:pBdr>
        <w:shd w:fill="FDE7E7" w:val="clear"/>
        <w:spacing w:after="200" w:before="100"/>
        <w:ind w:left="120"/>
      </w:pPr>
      <w:r>
        <w:rPr>
          <w:rFonts w:ascii="Calibri" w:cs="Calibri" w:eastAsia="Calibri" w:hAnsi="Calibri"/>
          <w:b/>
          <w:bCs/>
          <w:color w:val="C00000"/>
          <w:sz w:val="20"/>
          <w:szCs w:val="20"/>
        </w:rPr>
        <w:t xml:space="preserve">If exttchobj (the final check for an existing allocation) is NOT None — i.e. this exact teacher/course/college-batch combination is already allocated — the method has no else branch and no explicit handling at all for that case. Execution falls through to the end of the try block with no return statement, meaning the method implicitly returns None, which is not a valid view response. Re-submitting an allocation that already exists therefore fails with an invalid-response error instead of a graceful "already allocated" message, unlike the equivalent already-exists checks in the sibling upload endpoints (ExtcordUpload, ExtzoneUpload), which do return a specific message in that case.</w:t>
      </w:r>
    </w:p>
    <w:p>
      <w:pPr>
        <w:pBdr>
          <w:left w:val="single" w:color="C00000" w:sz="12"/>
        </w:pBdr>
        <w:shd w:fill="FDE7E7" w:val="clear"/>
        <w:spacing w:after="200" w:before="80"/>
        <w:ind w:left="120"/>
      </w:pPr>
      <w:r>
        <w:rPr>
          <w:rFonts w:ascii="Calibri" w:cs="Calibri" w:eastAsia="Calibri" w:hAnsi="Calibri"/>
          <w:i/>
          <w:iCs/>
          <w:sz w:val="20"/>
          <w:szCs w:val="20"/>
        </w:rPr>
        <w:t xml:space="preserve">userobj.groups.add(52) uses a bare magic-number group id, consistent with 50 (coordinator) and 51 (zone chairman) in the two sibling files — the three together suggest a role hierarchy that would benefit from shared named constants.</w:t>
      </w:r>
    </w:p>
    <w:p>
      <w:pPr>
        <w:pBdr>
          <w:left w:val="single" w:color="E8B923" w:sz="12"/>
        </w:pBdr>
        <w:shd w:fill="FFF6DA" w:val="clear"/>
        <w:spacing w:after="200" w:before="80"/>
        <w:ind w:left="120"/>
      </w:pPr>
      <w:r>
        <w:rPr>
          <w:rFonts w:ascii="Calibri" w:cs="Calibri" w:eastAsia="Calibri" w:hAnsi="Calibri"/>
          <w:i/>
          <w:iCs/>
          <w:sz w:val="20"/>
          <w:szCs w:val="20"/>
        </w:rPr>
        <w:t xml:space="preserve">Numerous stray print() debug statements remain throughout this method, several using generic labels like "22222222" and "3333333" that give no indication of what's being printed without reading the surrounding code.</w:t>
      </w:r>
    </w:p>
    <w:p>
      <w:pPr>
        <w:pStyle w:val="Heading1"/>
        <w:spacing w:after="120" w:before="240"/>
      </w:pPr>
      <w:r>
        <w:t xml:space="preserve">Cross-cutting observations</w:t>
      </w:r>
    </w:p>
    <w:p>
      <w:pPr>
        <w:pStyle w:val="ListParagraph"/>
        <w:numPr>
          <w:ilvl w:val="0"/>
          <w:numId w:val="2"/>
        </w:numPr>
        <w:spacing w:after="80"/>
      </w:pPr>
      <w:r>
        <w:rPr>
          <w:rFonts w:ascii="Calibri" w:cs="Calibri" w:eastAsia="Calibri" w:hAnsi="Calibri"/>
        </w:rPr>
        <w:t xml:space="preserve">ExtProgramAllocation's eight-deep unguarded lookup chain and its missing already-allocated handling are the two most significant issues in this file.</w:t>
      </w:r>
    </w:p>
    <w:p>
      <w:pPr>
        <w:pStyle w:val="ListParagraph"/>
        <w:numPr>
          <w:ilvl w:val="0"/>
          <w:numId w:val="2"/>
        </w:numPr>
        <w:spacing w:after="80"/>
      </w:pPr>
      <w:r>
        <w:rPr>
          <w:rFonts w:ascii="Calibri" w:cs="Calibri" w:eastAsia="Calibri" w:hAnsi="Calibri"/>
        </w:rPr>
        <w:t xml:space="preserve">The unguarded search-id-to-user lookup (TeacherFetch) and the non-existent status.HTTP_NOT_FOUND attribute are both shared bugs with extcordchairmanallocation.py and extzonechairmanallocation.py — worth fixing across all three files together.</w:t>
      </w:r>
    </w:p>
    <w:p>
      <w:pPr>
        <w:pStyle w:val="ListParagraph"/>
        <w:numPr>
          <w:ilvl w:val="0"/>
          <w:numId w:val="2"/>
        </w:numPr>
        <w:spacing w:after="80"/>
      </w:pPr>
      <w:r>
        <w:rPr>
          <w:rFonts w:ascii="Calibri" w:cs="Calibri" w:eastAsia="Calibri" w:hAnsi="Calibri"/>
        </w:rPr>
        <w:t xml:space="preserve">Response conventions are inconsistent within this one file: most views use format_response(...), but ExtProgrammeList and TeacherFetch's error paths use plain DRF Response(...) instead.</w:t>
      </w:r>
    </w:p>
    <w:p>
      <w:pPr>
        <w:pStyle w:val="ListParagraph"/>
        <w:numPr>
          <w:ilvl w:val="0"/>
          <w:numId w:val="2"/>
        </w:numPr>
        <w:spacing w:after="80"/>
      </w:pPr>
      <w:r>
        <w:rPr>
          <w:rFonts w:ascii="Calibri" w:cs="Calibri" w:eastAsia="Calibri" w:hAnsi="Calibri"/>
        </w:rPr>
        <w:t xml:space="preserve">No view in this file sets permission_classes, despite ExtProgramAllocation granting Django group membership and creating allocation records from caller-supplied ids.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20"/>
    </w:pPr>
    <w:rPr>
      <w:rFonts w:ascii="Calibri" w:cs="Calibri" w:eastAsia="Calibri" w:hAnsi="Calibri"/>
      <w:b/>
      <w:bCs/>
      <w:color w:val="2F5496"/>
      <w:sz w:val="30"/>
      <w:szCs w:val="30"/>
    </w:rPr>
  </w:style>
  <w:style w:type="paragraph" w:styleId="Heading2">
    <w:name w:val="Heading 2"/>
    <w:basedOn w:val="Normal"/>
    <w:next w:val="Normal"/>
    <w:qFormat/>
    <w:pPr>
      <w:spacing w:after="100" w:before="220"/>
    </w:pPr>
    <w:rPr>
      <w:rFonts w:ascii="Calibri" w:cs="Calibri" w:eastAsia="Calibri" w:hAnsi="Calibri"/>
      <w:b/>
      <w:bCs/>
      <w:color w:val="1F386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2026-09-08T05:42:06.581Z</dcterms:created>
  <dcterms:modified xsi:type="dcterms:W3CDTF">2026-09-08T05:42:06.582Z</dcterms:modified>
</cp:coreProperties>
</file>

<file path=docProps/custom.xml><?xml version="1.0" encoding="utf-8"?>
<Properties xmlns="http://schemas.openxmlformats.org/officeDocument/2006/custom-properties" xmlns:vt="http://schemas.openxmlformats.org/officeDocument/2006/docPropsVTypes"/>
</file>