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mfa-core-views"/>
    <w:p>
      <w:pPr>
        <w:pStyle w:val="Heading1"/>
      </w:pPr>
      <w:r>
        <w:t xml:space="preserve">MFA Core Views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mfa/views.py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mfa/urls.py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The central hub of the MFA flow: showing a user their registered</w:t>
      </w:r>
      <w:r>
        <w:t xml:space="preserve"> </w:t>
      </w:r>
      <w:r>
        <w:t xml:space="preserve">methods, routing a pending login to the right second-factor method,</w:t>
      </w:r>
      <w:r>
        <w:t xml:space="preserve"> </w:t>
      </w:r>
      <w:r>
        <w:t xml:space="preserve">completing the actual login once verification succeeds, and managing</w:t>
      </w:r>
      <w:r>
        <w:t xml:space="preserve"> </w:t>
      </w:r>
      <w:r>
        <w:t xml:space="preserve">(enabling/disabling/deleting) registered keys.</w:t>
      </w:r>
    </w:p>
    <w:bookmarkEnd w:id="20"/>
    <w:bookmarkStart w:id="21" w:name="index"/>
    <w:p>
      <w:pPr>
        <w:pStyle w:val="Heading2"/>
      </w:pPr>
      <w:r>
        <w:t xml:space="preserve">1. Index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`` (mfa app root)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@login_required</w:t>
            </w:r>
          </w:p>
        </w:tc>
      </w:tr>
    </w:tbl>
    <w:p>
      <w:pPr>
        <w:pStyle w:val="BodyText"/>
      </w:pPr>
      <w:r>
        <w:t xml:space="preserve">Shows the logged-in user their registered MFA methods, with some</w:t>
      </w:r>
      <w:r>
        <w:t xml:space="preserve"> </w:t>
      </w:r>
      <w:r>
        <w:t xml:space="preserve">per-method display detail (parsed user-agent for Trusted Devices,</w:t>
      </w:r>
      <w:r>
        <w:t xml:space="preserve"> </w:t>
      </w:r>
      <w:r>
        <w:t xml:space="preserve">device type for FIDO2 keys).</w:t>
      </w:r>
    </w:p>
    <w:bookmarkEnd w:id="21"/>
    <w:bookmarkStart w:id="24" w:name="verify"/>
    <w:p>
      <w:pPr>
        <w:pStyle w:val="Heading2"/>
      </w:pPr>
      <w:r>
        <w:t xml:space="preserve">2. Verify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(called internally, not directly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routed)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</w:t>
            </w:r>
          </w:p>
        </w:tc>
      </w:tr>
    </w:tbl>
    <w:bookmarkStart w:id="22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routing step right after a correct password: figures out which</w:t>
      </w:r>
      <w:r>
        <w:t xml:space="preserve"> </w:t>
      </w:r>
      <w:r>
        <w:t xml:space="preserve">second-factor method(s) the user has, and either logs them straight</w:t>
      </w:r>
      <w:r>
        <w:t xml:space="preserve"> </w:t>
      </w:r>
      <w:r>
        <w:t xml:space="preserve">in (if a trusted device is already recognized), sends them directly</w:t>
      </w:r>
      <w:r>
        <w:t xml:space="preserve"> </w:t>
      </w:r>
      <w:r>
        <w:t xml:space="preserve">to their one-and-only method, or shows a method picker if they have</w:t>
      </w:r>
      <w:r>
        <w:t xml:space="preserve"> </w:t>
      </w:r>
      <w:r>
        <w:t xml:space="preserve">several.</w:t>
      </w:r>
    </w:p>
    <w:bookmarkEnd w:id="22"/>
    <w:bookmarkStart w:id="23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Store the username being logged in as</w:t>
      </w:r>
      <w:r>
        <w:t xml:space="preserve"> </w:t>
      </w:r>
      <w:r>
        <w:rPr>
          <w:rStyle w:val="VerbatimChar"/>
        </w:rPr>
        <w:t xml:space="preserve">base_username</w:t>
      </w:r>
      <w:r>
        <w:t xml:space="preserve"> </w:t>
      </w:r>
      <w:r>
        <w:t xml:space="preserve">in the</w:t>
      </w:r>
      <w:r>
        <w:t xml:space="preserve"> </w:t>
      </w:r>
      <w:r>
        <w:t xml:space="preserve">session.</w:t>
      </w:r>
    </w:p>
    <w:p>
      <w:pPr>
        <w:numPr>
          <w:ilvl w:val="0"/>
          <w:numId w:val="1001"/>
        </w:numPr>
        <w:pStyle w:val="Compact"/>
      </w:pPr>
      <w:r>
        <w:t xml:space="preserve">Find every enabled key type this user has registered.</w:t>
      </w:r>
    </w:p>
    <w:p>
      <w:pPr>
        <w:numPr>
          <w:ilvl w:val="0"/>
          <w:numId w:val="1001"/>
        </w:numPr>
        <w:pStyle w:val="Compact"/>
      </w:pPr>
      <w:r>
        <w:t xml:space="preserve">If</w:t>
      </w:r>
      <w:r>
        <w:t xml:space="preserve"> </w:t>
      </w:r>
      <w:r>
        <w:t xml:space="preserve">“</w:t>
      </w:r>
      <w:r>
        <w:t xml:space="preserve">Trusted Device</w:t>
      </w:r>
      <w:r>
        <w:t xml:space="preserve">”</w:t>
      </w:r>
      <w:r>
        <w:t xml:space="preserve"> </w:t>
      </w:r>
      <w:r>
        <w:t xml:space="preserve">is one of them, and this browser hasn’t</w:t>
      </w:r>
      <w:r>
        <w:t xml:space="preserve"> </w:t>
      </w:r>
      <w:r>
        <w:t xml:space="preserve">already been checked this session, verify the trusted-device</w:t>
      </w:r>
      <w:r>
        <w:t xml:space="preserve"> </w:t>
      </w:r>
      <w:r>
        <w:t xml:space="preserve">cookie — if it’s valid, log the user straight in and skip any</w:t>
      </w:r>
      <w:r>
        <w:t xml:space="preserve"> </w:t>
      </w:r>
      <w:r>
        <w:t xml:space="preserve">further MFA step entirely.</w:t>
      </w:r>
    </w:p>
    <w:p>
      <w:pPr>
        <w:numPr>
          <w:ilvl w:val="0"/>
          <w:numId w:val="1001"/>
        </w:numPr>
        <w:pStyle w:val="Compact"/>
      </w:pPr>
      <w:r>
        <w:t xml:space="preserve">If there’s exactly one remaining method, redirect straight to its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view.</w:t>
      </w:r>
    </w:p>
    <w:p>
      <w:pPr>
        <w:numPr>
          <w:ilvl w:val="0"/>
          <w:numId w:val="1001"/>
        </w:numPr>
        <w:pStyle w:val="Compact"/>
      </w:pPr>
      <w:r>
        <w:t xml:space="preserve">Otherwise, show the method-selection page.</w:t>
      </w:r>
    </w:p>
    <w:bookmarkEnd w:id="23"/>
    <w:bookmarkEnd w:id="24"/>
    <w:bookmarkStart w:id="25" w:name="show-methods"/>
    <w:p>
      <w:pPr>
        <w:pStyle w:val="Heading2"/>
      </w:pPr>
      <w:r>
        <w:t xml:space="preserve">3. Show Methods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selct_method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show_methods</w:t>
            </w:r>
          </w:p>
        </w:tc>
      </w:tr>
    </w:tbl>
    <w:p>
      <w:pPr>
        <w:pStyle w:val="BodyText"/>
      </w:pPr>
      <w:r>
        <w:t xml:space="preserve">Renders the method-picker page. No logic beyond that.</w:t>
      </w:r>
    </w:p>
    <w:bookmarkEnd w:id="25"/>
    <w:bookmarkStart w:id="26" w:name="reset-cookie"/>
    <w:p>
      <w:pPr>
        <w:pStyle w:val="Heading2"/>
      </w:pPr>
      <w:r>
        <w:t xml:space="preserve">4. Reset Cookie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reset_cookie</w:t>
            </w:r>
          </w:p>
        </w:tc>
      </w:tr>
    </w:tbl>
    <w:p>
      <w:pPr>
        <w:pStyle w:val="BodyText"/>
      </w:pPr>
      <w:r>
        <w:t xml:space="preserve">Redirects to the login page and deletes the trusted-device cookie —</w:t>
      </w:r>
      <w:r>
        <w:t xml:space="preserve"> </w:t>
      </w:r>
      <w:r>
        <w:t xml:space="preserve">used to force a fresh MFA check.</w:t>
      </w:r>
    </w:p>
    <w:bookmarkEnd w:id="26"/>
    <w:bookmarkStart w:id="27" w:name="login-internal-completion-step"/>
    <w:p>
      <w:pPr>
        <w:pStyle w:val="Heading2"/>
      </w:pPr>
      <w:r>
        <w:t xml:space="preserve">5. Login (internal completion step)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</w:t>
            </w:r>
          </w:p>
        </w:tc>
      </w:tr>
    </w:tbl>
    <w:p>
      <w:pPr>
        <w:pStyle w:val="BodyText"/>
      </w:pPr>
      <w:r>
        <w:t xml:space="preserve">Called by every method’s</w:t>
      </w:r>
      <w:r>
        <w:t xml:space="preserve"> </w:t>
      </w:r>
      <w:r>
        <w:rPr>
          <w:rStyle w:val="VerbatimChar"/>
        </w:rPr>
        <w:t xml:space="preserve">auth()</w:t>
      </w:r>
      <w:r>
        <w:t xml:space="preserve"> </w:t>
      </w:r>
      <w:r>
        <w:t xml:space="preserve">function once verification</w:t>
      </w:r>
      <w:r>
        <w:t xml:space="preserve"> </w:t>
      </w:r>
      <w:r>
        <w:t xml:space="preserve">succeeds — looks up a configurable callback function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settings.MFA_LOGIN_CALLBACK</w:t>
      </w:r>
      <w:r>
        <w:t xml:space="preserve">) and hands off to it with the</w:t>
      </w:r>
      <w:r>
        <w:t xml:space="preserve"> </w:t>
      </w:r>
      <w:r>
        <w:t xml:space="preserve">now-verified username, to actually complete Django’s own login</w:t>
      </w:r>
      <w:r>
        <w:t xml:space="preserve"> </w:t>
      </w:r>
      <w:r>
        <w:t xml:space="preserve">process. The callback is resolved dynamically by string path via</w:t>
      </w:r>
      <w:r>
        <w:t xml:space="preserve"> </w:t>
      </w:r>
      <w:r>
        <w:rPr>
          <w:rStyle w:val="VerbatimChar"/>
        </w:rPr>
        <w:t xml:space="preserve">__get_callable_function__</w:t>
      </w:r>
      <w:r>
        <w:t xml:space="preserve">.</w:t>
      </w:r>
    </w:p>
    <w:bookmarkEnd w:id="27"/>
    <w:bookmarkStart w:id="32" w:name="delete-key"/>
    <w:p>
      <w:pPr>
        <w:pStyle w:val="Heading2"/>
      </w:pPr>
      <w:r>
        <w:t xml:space="preserve">6. Delete Key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@login_required</w:t>
            </w:r>
          </w:p>
        </w:tc>
      </w:tr>
    </w:tbl>
    <w:bookmarkStart w:id="28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Removes one of the logged-in user’s registered MFA keys.</w:t>
      </w:r>
    </w:p>
    <w:bookmarkEnd w:id="28"/>
    <w:bookmarkStart w:id="29" w:name="request-query-string"/>
    <w:p>
      <w:pPr>
        <w:pStyle w:val="Heading3"/>
      </w:pPr>
      <w:r>
        <w:t xml:space="preserve">Request (query string)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User_Keys</w:t>
            </w:r>
            <w:r>
              <w:t xml:space="preserve"> </w:t>
            </w:r>
            <w:r>
              <w:t xml:space="preserve">record to delete</w:t>
            </w:r>
          </w:p>
        </w:tc>
      </w:tr>
    </w:tbl>
    <w:bookmarkEnd w:id="29"/>
    <w:bookmarkStart w:id="30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Look up the key by id.</w:t>
      </w:r>
    </w:p>
    <w:p>
      <w:pPr>
        <w:numPr>
          <w:ilvl w:val="0"/>
          <w:numId w:val="1002"/>
        </w:numPr>
        <w:pStyle w:val="Compact"/>
      </w:pPr>
      <w:r>
        <w:t xml:space="preserve">If it belongs to the logged-in user, delete it and return</w:t>
      </w:r>
      <w:r>
        <w:t xml:space="preserve"> </w:t>
      </w:r>
      <w:r>
        <w:t xml:space="preserve">“</w:t>
      </w:r>
      <w:r>
        <w:t xml:space="preserve">Deleted Successfully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Otherwise, return an error message.</w:t>
      </w:r>
    </w:p>
    <w:bookmarkEnd w:id="30"/>
    <w:bookmarkStart w:id="31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you don’t own this key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error message says the opposite of</w:t>
      </w:r>
      <w:r>
        <w:rPr>
          <w:bCs/>
          <w:b/>
        </w:rPr>
        <w:t xml:space="preserve"> </w:t>
      </w:r>
      <w:r>
        <w:rPr>
          <w:bCs/>
          <w:b/>
        </w:rPr>
        <w:t xml:space="preserve">what it means.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key.username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request.user.username:</w:t>
      </w:r>
      <w:r>
        <w:br/>
      </w:r>
      <w:r>
        <w:rPr>
          <w:rStyle w:val="NormalTok"/>
        </w:rPr>
        <w:t xml:space="preserve">    key.delete()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HttpResponse(</w:t>
      </w:r>
      <w:r>
        <w:rPr>
          <w:rStyle w:val="StringTok"/>
        </w:rPr>
        <w:t xml:space="preserve">"Deleted Successfully"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HttpResponse(</w:t>
      </w:r>
      <w:r>
        <w:rPr>
          <w:rStyle w:val="StringTok"/>
        </w:rPr>
        <w:t xml:space="preserve">"Error: You own this token so you can't delete it"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runs precisely when the key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belong to</w:t>
      </w:r>
      <w:r>
        <w:t xml:space="preserve"> </w:t>
      </w:r>
      <w:r>
        <w:t xml:space="preserve">the requesting user, but the message reads</w:t>
      </w:r>
      <w:r>
        <w:t xml:space="preserve"> </w:t>
      </w:r>
      <w:r>
        <w:t xml:space="preserve">“</w:t>
      </w:r>
      <w:r>
        <w:t xml:space="preserve">You own this token so</w:t>
      </w:r>
      <w:r>
        <w:t xml:space="preserve"> </w:t>
      </w:r>
      <w:r>
        <w:t xml:space="preserve">you can’t delete it</w:t>
      </w:r>
      <w:r>
        <w:t xml:space="preserve">”</w:t>
      </w:r>
      <w:r>
        <w:t xml:space="preserve"> </w:t>
      </w:r>
      <w:r>
        <w:t xml:space="preserve">— the opposite of the actual condition. A user</w:t>
      </w:r>
      <w:r>
        <w:t xml:space="preserve"> </w:t>
      </w:r>
      <w:r>
        <w:t xml:space="preserve">seeing this message when trying to delete someone else’s key (or a</w:t>
      </w:r>
      <w:r>
        <w:t xml:space="preserve"> </w:t>
      </w:r>
      <w:r>
        <w:t xml:space="preserve">stale/incorrect id) would be told something that doesn’t match why</w:t>
      </w:r>
      <w:r>
        <w:t xml:space="preserve"> </w:t>
      </w:r>
      <w:r>
        <w:t xml:space="preserve">the deletion was actually refused.</w:t>
      </w:r>
    </w:p>
    <w:p>
      <w:pPr>
        <w:pStyle w:val="BodyText"/>
      </w:pPr>
      <w:r>
        <w:t xml:space="preserve">No None-check on the</w:t>
      </w:r>
      <w:r>
        <w:t xml:space="preserve"> </w:t>
      </w:r>
      <w:r>
        <w:rPr>
          <w:rStyle w:val="VerbatimChar"/>
        </w:rPr>
        <w:t xml:space="preserve">User_Keys.objects.get(id=...)</w:t>
      </w:r>
      <w:r>
        <w:t xml:space="preserve"> </w:t>
      </w:r>
      <w:r>
        <w:t xml:space="preserve">lookup — a bad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raises an unhandled error rather than a specific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 </w:t>
      </w:r>
      <w:r>
        <w:t xml:space="preserve">message. This is also a</w:t>
      </w:r>
      <w:r>
        <w:t xml:space="preserve"> </w:t>
      </w:r>
      <w:r>
        <w:rPr>
          <w:rStyle w:val="VerbatimChar"/>
        </w:rPr>
        <w:t xml:space="preserve">GET</w:t>
      </w:r>
      <w:r>
        <w:t xml:space="preserve">-accessible endpoint performing a</w:t>
      </w:r>
      <w:r>
        <w:t xml:space="preserve"> </w:t>
      </w:r>
      <w:r>
        <w:t xml:space="preserve">destructive delete action.</w:t>
      </w:r>
    </w:p>
    <w:bookmarkEnd w:id="31"/>
    <w:bookmarkEnd w:id="32"/>
    <w:bookmarkStart w:id="33" w:name="toggle-key"/>
    <w:p>
      <w:pPr>
        <w:pStyle w:val="Heading2"/>
      </w:pPr>
      <w:r>
        <w:t xml:space="preserve">7. Toggle Key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toggleKey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toggleKey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@login_required</w:t>
            </w:r>
          </w:p>
        </w:tc>
      </w:tr>
    </w:tbl>
    <w:p>
      <w:pPr>
        <w:pStyle w:val="BodyText"/>
      </w:pPr>
      <w:r>
        <w:t xml:space="preserve">Given a key</w:t>
      </w:r>
      <w:r>
        <w:t xml:space="preserve"> </w:t>
      </w:r>
      <w:r>
        <w:rPr>
          <w:rStyle w:val="VerbatimChar"/>
        </w:rPr>
        <w:t xml:space="preserve">id</w:t>
      </w:r>
      <w:r>
        <w:t xml:space="preserve">, flips it between enabled and disabled — unless its</w:t>
      </w:r>
      <w:r>
        <w:t xml:space="preserve"> </w:t>
      </w:r>
      <w:r>
        <w:t xml:space="preserve">type is in</w:t>
      </w:r>
      <w:r>
        <w:t xml:space="preserve"> </w:t>
      </w:r>
      <w:r>
        <w:rPr>
          <w:rStyle w:val="VerbatimChar"/>
        </w:rPr>
        <w:t xml:space="preserve">MFA_HIDE_DISABLE</w:t>
      </w:r>
      <w:r>
        <w:t xml:space="preserve"> </w:t>
      </w:r>
      <w:r>
        <w:t xml:space="preserve">(methods the admin has configured as</w:t>
      </w:r>
      <w:r>
        <w:t xml:space="preserve"> </w:t>
      </w:r>
      <w:r>
        <w:t xml:space="preserve">not disable-able), in which case it refuses with</w:t>
      </w:r>
      <w:r>
        <w:t xml:space="preserve"> </w:t>
      </w:r>
      <w:r>
        <w:t xml:space="preserve">“</w:t>
      </w:r>
      <w:r>
        <w:t xml:space="preserve">You can’t change</w:t>
      </w:r>
      <w:r>
        <w:t xml:space="preserve"> </w:t>
      </w:r>
      <w:r>
        <w:t xml:space="preserve">this method.</w:t>
      </w:r>
      <w:r>
        <w:t xml:space="preserve">”</w:t>
      </w:r>
      <w:r>
        <w:t xml:space="preserve"> </w:t>
      </w:r>
      <w:r>
        <w:t xml:space="preserve">Also</w:t>
      </w:r>
      <w:r>
        <w:t xml:space="preserve"> </w:t>
      </w:r>
      <w:r>
        <w:rPr>
          <w:rStyle w:val="VerbatimChar"/>
        </w:rPr>
        <w:t xml:space="preserve">GET</w:t>
      </w:r>
      <w:r>
        <w:t xml:space="preserve">-accessible for what’s a state-changing</w:t>
      </w:r>
      <w:r>
        <w:t xml:space="preserve"> </w:t>
      </w:r>
      <w:r>
        <w:t xml:space="preserve">toggle action.</w:t>
      </w:r>
    </w:p>
    <w:bookmarkEnd w:id="33"/>
    <w:bookmarkStart w:id="34" w:name="goto"/>
    <w:p>
      <w:pPr>
        <w:pStyle w:val="Heading2"/>
      </w:pPr>
      <w:r>
        <w:t xml:space="preserve">8. Goto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goto/(.*)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goto</w:t>
            </w:r>
          </w:p>
        </w:tc>
      </w:tr>
    </w:tbl>
    <w:p>
      <w:pPr>
        <w:pStyle w:val="BodyText"/>
      </w:pPr>
      <w:r>
        <w:t xml:space="preserve">A simple redirect helper — given a method name, redirects to that</w:t>
      </w:r>
      <w:r>
        <w:t xml:space="preserve"> </w:t>
      </w:r>
      <w:r>
        <w:t xml:space="preserve">method’s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view. Used to let a link/button send the user</w:t>
      </w:r>
      <w:r>
        <w:t xml:space="preserve"> </w:t>
      </w:r>
      <w:r>
        <w:t xml:space="preserve">directly into a specific MFA method’s flow.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2026-09-04T05:28:08Z</dcterms:created>
  <dcterms:modified xsi:type="dcterms:W3CDTF">2026-09-04T05:28:08Z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